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Pr="00A85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Кировград - </w:t>
      </w:r>
      <w:proofErr w:type="spellStart"/>
      <w:r w:rsidRPr="00673D7D">
        <w:rPr>
          <w:i/>
          <w:color w:val="000000" w:themeColor="text1"/>
          <w:sz w:val="28"/>
          <w:szCs w:val="28"/>
        </w:rPr>
        <w:t>Карпушиха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673D7D">
        <w:rPr>
          <w:i/>
          <w:color w:val="000000" w:themeColor="text1"/>
          <w:sz w:val="28"/>
          <w:szCs w:val="28"/>
        </w:rPr>
        <w:t>Левиха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Краснотурьинский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lastRenderedPageBreak/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 </w:t>
      </w:r>
      <w:proofErr w:type="spellStart"/>
      <w:r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Серовский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</w:t>
      </w:r>
      <w:r w:rsidR="002E29E2" w:rsidRPr="00673D7D">
        <w:rPr>
          <w:i/>
          <w:color w:val="000000" w:themeColor="text1"/>
          <w:sz w:val="28"/>
          <w:szCs w:val="28"/>
        </w:rPr>
        <w:t xml:space="preserve"> </w:t>
      </w:r>
      <w:r w:rsidRPr="00673D7D">
        <w:rPr>
          <w:i/>
          <w:color w:val="000000" w:themeColor="text1"/>
          <w:sz w:val="28"/>
          <w:szCs w:val="28"/>
        </w:rPr>
        <w:t>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>ДТП</w:t>
      </w:r>
      <w:r w:rsidR="002E29E2" w:rsidRPr="00673D7D">
        <w:rPr>
          <w:i/>
          <w:color w:val="000000" w:themeColor="text1"/>
          <w:sz w:val="28"/>
          <w:szCs w:val="28"/>
        </w:rPr>
        <w:t xml:space="preserve"> </w:t>
      </w:r>
      <w:r w:rsidR="00167D81" w:rsidRPr="00673D7D">
        <w:rPr>
          <w:i/>
          <w:color w:val="000000" w:themeColor="text1"/>
          <w:sz w:val="28"/>
          <w:szCs w:val="28"/>
        </w:rPr>
        <w:t xml:space="preserve">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9B1CA7" w:rsidRPr="00673D7D">
        <w:rPr>
          <w:i/>
          <w:color w:val="000000" w:themeColor="text1"/>
          <w:sz w:val="28"/>
          <w:szCs w:val="28"/>
        </w:rPr>
        <w:t xml:space="preserve"> 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796FFB" w:rsidRPr="00673D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2E29E2"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="002E29E2" w:rsidRPr="00673D7D">
        <w:rPr>
          <w:i/>
          <w:color w:val="000000" w:themeColor="text1"/>
          <w:sz w:val="28"/>
          <w:szCs w:val="28"/>
        </w:rPr>
        <w:t xml:space="preserve">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="00D227E6" w:rsidRPr="00673D7D">
        <w:rPr>
          <w:i/>
          <w:color w:val="000000" w:themeColor="text1"/>
          <w:sz w:val="28"/>
          <w:szCs w:val="28"/>
        </w:rPr>
        <w:t>Тугулымском</w:t>
      </w:r>
      <w:proofErr w:type="spellEnd"/>
      <w:r w:rsidR="00D227E6" w:rsidRPr="00673D7D">
        <w:rPr>
          <w:i/>
          <w:color w:val="000000" w:themeColor="text1"/>
          <w:sz w:val="28"/>
          <w:szCs w:val="28"/>
        </w:rPr>
        <w:t xml:space="preserve">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</w:t>
      </w:r>
      <w:r w:rsidR="00D227E6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FD7441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A54FDC" w:rsidRPr="00673D7D">
        <w:rPr>
          <w:i/>
          <w:color w:val="000000" w:themeColor="text1"/>
          <w:sz w:val="28"/>
          <w:szCs w:val="28"/>
        </w:rPr>
        <w:t xml:space="preserve"> 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D227E6" w:rsidRPr="00673D7D">
        <w:rPr>
          <w:i/>
          <w:color w:val="000000" w:themeColor="text1"/>
          <w:sz w:val="28"/>
          <w:szCs w:val="28"/>
        </w:rPr>
        <w:t xml:space="preserve"> 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A54FDC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652299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7-летняя</w:t>
      </w:r>
      <w:r w:rsidR="006263E5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</w:t>
      </w:r>
      <w:proofErr w:type="spellStart"/>
      <w:r w:rsidR="00652299" w:rsidRPr="00673D7D">
        <w:rPr>
          <w:i/>
          <w:color w:val="000000" w:themeColor="text1"/>
          <w:sz w:val="28"/>
          <w:szCs w:val="28"/>
        </w:rPr>
        <w:t>г.Тюмень</w:t>
      </w:r>
      <w:proofErr w:type="spellEnd"/>
      <w:r w:rsidR="00652299" w:rsidRPr="00673D7D">
        <w:rPr>
          <w:i/>
          <w:color w:val="000000" w:themeColor="text1"/>
          <w:sz w:val="28"/>
          <w:szCs w:val="28"/>
        </w:rPr>
        <w:t xml:space="preserve">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652299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6F4FDA" w:rsidRPr="006F4FDA">
        <w:rPr>
          <w:i/>
          <w:sz w:val="28"/>
          <w:szCs w:val="28"/>
        </w:rPr>
        <w:t xml:space="preserve"> </w:t>
      </w:r>
      <w:r w:rsidR="007548A7">
        <w:rPr>
          <w:i/>
          <w:sz w:val="28"/>
          <w:szCs w:val="28"/>
        </w:rPr>
        <w:br/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r w:rsidR="007548A7">
        <w:rPr>
          <w:i/>
          <w:sz w:val="28"/>
          <w:szCs w:val="28"/>
        </w:rPr>
        <w:t>.</w:t>
      </w:r>
      <w:r w:rsidR="006F4FDA" w:rsidRPr="006F4FDA">
        <w:rPr>
          <w:i/>
          <w:sz w:val="28"/>
          <w:szCs w:val="28"/>
        </w:rPr>
        <w:t xml:space="preserve"> </w:t>
      </w:r>
      <w:r w:rsidR="007548A7">
        <w:rPr>
          <w:i/>
          <w:sz w:val="28"/>
          <w:szCs w:val="28"/>
        </w:rPr>
        <w:t>Е</w:t>
      </w:r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06512B" w:rsidRPr="006F4FDA">
        <w:rPr>
          <w:i/>
          <w:sz w:val="28"/>
          <w:szCs w:val="28"/>
        </w:rPr>
        <w:t xml:space="preserve"> 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416498">
        <w:rPr>
          <w:i/>
          <w:sz w:val="28"/>
          <w:szCs w:val="28"/>
        </w:rPr>
        <w:t xml:space="preserve"> 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</w:t>
      </w:r>
      <w:proofErr w:type="spellStart"/>
      <w:r w:rsidR="00240611" w:rsidRPr="00AD2C42">
        <w:rPr>
          <w:sz w:val="28"/>
          <w:szCs w:val="28"/>
        </w:rPr>
        <w:t>Ивделе</w:t>
      </w:r>
      <w:proofErr w:type="spellEnd"/>
      <w:r w:rsidR="00240611" w:rsidRPr="00AD2C42">
        <w:rPr>
          <w:sz w:val="28"/>
          <w:szCs w:val="28"/>
        </w:rPr>
        <w:t xml:space="preserve"> 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240611" w:rsidRPr="00AD2C42">
        <w:rPr>
          <w:sz w:val="28"/>
          <w:szCs w:val="28"/>
        </w:rPr>
        <w:t xml:space="preserve"> 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 xml:space="preserve">, </w:t>
      </w:r>
      <w:proofErr w:type="spellStart"/>
      <w:r w:rsidR="00AD2C42" w:rsidRPr="00AD2C42">
        <w:rPr>
          <w:sz w:val="28"/>
          <w:szCs w:val="28"/>
        </w:rPr>
        <w:t>Артях</w:t>
      </w:r>
      <w:proofErr w:type="spellEnd"/>
      <w:r w:rsidR="00AD2C42" w:rsidRPr="00AD2C42">
        <w:rPr>
          <w:sz w:val="28"/>
          <w:szCs w:val="28"/>
        </w:rPr>
        <w:t xml:space="preserve">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  <w:r w:rsidRPr="00AD2C42">
        <w:rPr>
          <w:sz w:val="28"/>
          <w:szCs w:val="28"/>
        </w:rPr>
        <w:t xml:space="preserve"> 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</w:t>
      </w:r>
      <w:r w:rsidR="007548E3" w:rsidRPr="00292D1D">
        <w:rPr>
          <w:sz w:val="28"/>
          <w:szCs w:val="28"/>
        </w:rPr>
        <w:t xml:space="preserve"> </w:t>
      </w:r>
      <w:r w:rsidRPr="00292D1D">
        <w:rPr>
          <w:sz w:val="28"/>
          <w:szCs w:val="28"/>
        </w:rPr>
        <w:t>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 wp14:anchorId="4D4F18CA" wp14:editId="6E76E59B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lastRenderedPageBreak/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lastRenderedPageBreak/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</w:t>
      </w:r>
      <w:r w:rsidR="00FF18AF" w:rsidRPr="009F4997">
        <w:rPr>
          <w:sz w:val="28"/>
          <w:szCs w:val="28"/>
        </w:rPr>
        <w:t xml:space="preserve"> </w:t>
      </w:r>
      <w:r w:rsidR="00596533" w:rsidRPr="009F4997">
        <w:rPr>
          <w:sz w:val="28"/>
          <w:szCs w:val="28"/>
        </w:rPr>
        <w:t>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r w:rsidR="0004382A" w:rsidRPr="00102215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в Алапаевске,</w:t>
      </w:r>
      <w:r w:rsidR="0004382A" w:rsidRPr="00102215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</w:t>
      </w:r>
      <w:r w:rsidRPr="00F450CE">
        <w:rPr>
          <w:sz w:val="28"/>
          <w:szCs w:val="28"/>
        </w:rPr>
        <w:t xml:space="preserve"> </w:t>
      </w:r>
      <w:r w:rsidR="005906DF" w:rsidRPr="00F450CE">
        <w:rPr>
          <w:sz w:val="28"/>
          <w:szCs w:val="28"/>
        </w:rPr>
        <w:t>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  <w:r w:rsidRPr="00F450CE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66A005" wp14:editId="5115D8AD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lastRenderedPageBreak/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F450CE">
        <w:rPr>
          <w:sz w:val="28"/>
          <w:szCs w:val="28"/>
        </w:rPr>
        <w:t xml:space="preserve"> </w:t>
      </w:r>
      <w:r w:rsidRPr="00F450CE">
        <w:rPr>
          <w:sz w:val="28"/>
          <w:szCs w:val="28"/>
        </w:rPr>
        <w:t>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</w:t>
      </w:r>
      <w:r w:rsidRPr="00F450CE">
        <w:rPr>
          <w:sz w:val="28"/>
          <w:szCs w:val="28"/>
        </w:rPr>
        <w:t xml:space="preserve"> </w:t>
      </w:r>
      <w:r w:rsidR="0083217B">
        <w:rPr>
          <w:sz w:val="28"/>
          <w:szCs w:val="28"/>
        </w:rPr>
        <w:t>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</w:t>
      </w:r>
      <w:r w:rsidR="006B06B2" w:rsidRPr="0083217B">
        <w:rPr>
          <w:sz w:val="28"/>
          <w:szCs w:val="28"/>
        </w:rPr>
        <w:t xml:space="preserve"> </w:t>
      </w:r>
      <w:r w:rsidRPr="0083217B">
        <w:rPr>
          <w:sz w:val="28"/>
          <w:szCs w:val="28"/>
        </w:rPr>
        <w:t>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</w:t>
      </w:r>
      <w:r w:rsidRPr="0083217B">
        <w:rPr>
          <w:sz w:val="28"/>
          <w:szCs w:val="28"/>
        </w:rPr>
        <w:t xml:space="preserve"> </w:t>
      </w:r>
      <w:r w:rsidR="00CB0CD4" w:rsidRPr="0083217B">
        <w:rPr>
          <w:sz w:val="28"/>
          <w:szCs w:val="28"/>
        </w:rPr>
        <w:t>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Pr="0083217B">
        <w:rPr>
          <w:sz w:val="28"/>
          <w:szCs w:val="28"/>
        </w:rPr>
        <w:t xml:space="preserve"> 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E263E29" wp14:editId="2C2B9884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>
        <w:rPr>
          <w:sz w:val="28"/>
          <w:szCs w:val="28"/>
        </w:rPr>
        <w:t xml:space="preserve"> 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t xml:space="preserve"> 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Pr="00F05FE4">
        <w:rPr>
          <w:sz w:val="28"/>
          <w:szCs w:val="28"/>
        </w:rPr>
        <w:t xml:space="preserve"> </w:t>
      </w:r>
      <w:r w:rsidR="00530177" w:rsidRPr="00F05FE4">
        <w:rPr>
          <w:sz w:val="28"/>
          <w:szCs w:val="28"/>
        </w:rPr>
        <w:t>детей</w:t>
      </w:r>
      <w:r w:rsidR="005B1CC3" w:rsidRPr="00F05FE4">
        <w:rPr>
          <w:sz w:val="28"/>
          <w:szCs w:val="28"/>
        </w:rPr>
        <w:t xml:space="preserve"> 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F86CFD4" wp14:editId="11DFC39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t xml:space="preserve"> 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 xml:space="preserve">, Каменск-Уральский, Качканар, Полевской, </w:t>
      </w:r>
      <w:proofErr w:type="spellStart"/>
      <w:r w:rsidRPr="00667209">
        <w:rPr>
          <w:color w:val="000000" w:themeColor="text1"/>
          <w:sz w:val="28"/>
          <w:szCs w:val="28"/>
        </w:rPr>
        <w:t>р.п</w:t>
      </w:r>
      <w:proofErr w:type="spellEnd"/>
      <w:r w:rsidRPr="00667209">
        <w:rPr>
          <w:color w:val="000000" w:themeColor="text1"/>
          <w:sz w:val="28"/>
          <w:szCs w:val="28"/>
        </w:rPr>
        <w:t>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</w:t>
      </w:r>
      <w:r>
        <w:rPr>
          <w:color w:val="000000" w:themeColor="text1"/>
          <w:sz w:val="28"/>
          <w:szCs w:val="28"/>
        </w:rPr>
        <w:lastRenderedPageBreak/>
        <w:t>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A26887" wp14:editId="7690D948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</w:t>
      </w:r>
      <w:r w:rsidRPr="00B921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</w:t>
      </w:r>
      <w:proofErr w:type="spellStart"/>
      <w:r w:rsidRPr="00B9217A">
        <w:rPr>
          <w:color w:val="000000" w:themeColor="text1"/>
          <w:sz w:val="28"/>
          <w:szCs w:val="28"/>
        </w:rPr>
        <w:t>Ивдель</w:t>
      </w:r>
      <w:proofErr w:type="spellEnd"/>
      <w:r w:rsidRPr="00B9217A">
        <w:rPr>
          <w:color w:val="000000" w:themeColor="text1"/>
          <w:sz w:val="28"/>
          <w:szCs w:val="28"/>
        </w:rPr>
        <w:t xml:space="preserve">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При этом во всех случаях несовершеннолетние управляли авто и </w:t>
      </w:r>
      <w:proofErr w:type="spellStart"/>
      <w:r w:rsidRPr="00894921">
        <w:rPr>
          <w:color w:val="000000" w:themeColor="text1"/>
          <w:sz w:val="28"/>
          <w:szCs w:val="28"/>
        </w:rPr>
        <w:t>мототранспортными</w:t>
      </w:r>
      <w:proofErr w:type="spellEnd"/>
      <w:r w:rsidRPr="00894921">
        <w:rPr>
          <w:color w:val="000000" w:themeColor="text1"/>
          <w:sz w:val="28"/>
          <w:szCs w:val="28"/>
        </w:rPr>
        <w:t xml:space="preserve">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="00F74BE6" w:rsidRPr="00894921">
        <w:rPr>
          <w:color w:val="000000" w:themeColor="text1"/>
          <w:sz w:val="28"/>
          <w:szCs w:val="28"/>
        </w:rPr>
        <w:t xml:space="preserve"> 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lastRenderedPageBreak/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proofErr w:type="spellStart"/>
      <w:r w:rsidRPr="00220367">
        <w:rPr>
          <w:color w:val="000000" w:themeColor="text1"/>
          <w:sz w:val="28"/>
          <w:szCs w:val="28"/>
        </w:rPr>
        <w:t>Артях</w:t>
      </w:r>
      <w:proofErr w:type="spellEnd"/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Асбесте (+100%), Богдановиче (АППГ), </w:t>
      </w:r>
      <w:proofErr w:type="spellStart"/>
      <w:r w:rsidRPr="00220367">
        <w:rPr>
          <w:color w:val="000000" w:themeColor="text1"/>
          <w:sz w:val="28"/>
          <w:szCs w:val="28"/>
        </w:rPr>
        <w:t>Ивделе</w:t>
      </w:r>
      <w:proofErr w:type="spellEnd"/>
      <w:r w:rsidRPr="00220367">
        <w:rPr>
          <w:color w:val="000000" w:themeColor="text1"/>
          <w:sz w:val="28"/>
          <w:szCs w:val="28"/>
        </w:rPr>
        <w:t xml:space="preserve">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B8ED205" wp14:editId="111C0347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с нарушением правил обгона, не предоставления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нарушений ПДД при перевозке детей.</w:t>
      </w:r>
      <w:r w:rsidRPr="000E2CE7">
        <w:rPr>
          <w:sz w:val="28"/>
          <w:szCs w:val="28"/>
        </w:rPr>
        <w:t xml:space="preserve"> 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 xml:space="preserve">2. Продолжить регулярное патрулирование на предмет выявления несовершеннолетних водителей транспортных средств, не имеющих права управления и пешеходов, двигающихся с нарушением ПДД РФ, в том числе без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</w:t>
      </w:r>
      <w:proofErr w:type="spellStart"/>
      <w:r w:rsidR="00B50915" w:rsidRPr="000E2CE7">
        <w:rPr>
          <w:sz w:val="28"/>
          <w:szCs w:val="28"/>
        </w:rPr>
        <w:t>снегокатов</w:t>
      </w:r>
      <w:proofErr w:type="spellEnd"/>
      <w:r w:rsidR="00B50915" w:rsidRPr="000E2CE7">
        <w:rPr>
          <w:sz w:val="28"/>
          <w:szCs w:val="28"/>
        </w:rPr>
        <w:t xml:space="preserve">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5.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6. Во дворовых территориях, местах массового нахождения граждан, общественном транспорте продолжить проведение разъяснительной работы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по делам несовершеннолетних и защите их прав, участковых уполномоченных.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0E2CE7">
        <w:rPr>
          <w:sz w:val="28"/>
          <w:szCs w:val="28"/>
        </w:rPr>
        <w:lastRenderedPageBreak/>
        <w:t>детей и молодежи в условиях распространения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7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F3" w:rsidRDefault="005B0FF3" w:rsidP="00874A55">
      <w:r>
        <w:separator/>
      </w:r>
    </w:p>
  </w:endnote>
  <w:endnote w:type="continuationSeparator" w:id="0">
    <w:p w:rsidR="005B0FF3" w:rsidRDefault="005B0FF3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F3" w:rsidRDefault="005B0FF3" w:rsidP="00874A55">
      <w:r>
        <w:separator/>
      </w:r>
    </w:p>
  </w:footnote>
  <w:footnote w:type="continuationSeparator" w:id="0">
    <w:p w:rsidR="005B0FF3" w:rsidRDefault="005B0FF3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5BE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5BE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0FF3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jpeg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jpeg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4388864"/>
        <c:axId val="294390400"/>
        <c:axId val="0"/>
      </c:bar3DChart>
      <c:catAx>
        <c:axId val="29438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390400"/>
        <c:crosses val="autoZero"/>
        <c:auto val="1"/>
        <c:lblAlgn val="ctr"/>
        <c:lblOffset val="100"/>
        <c:noMultiLvlLbl val="0"/>
      </c:catAx>
      <c:valAx>
        <c:axId val="29439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3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2E-2"/>
                  <c:y val="7.48338890071173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36E-2"/>
                  <c:y val="-4.0589250667990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49E-4"/>
                  <c:y val="-3.98841361046085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23E-2"/>
                  <c:y val="-2.42141353952377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67E-2"/>
                  <c:y val="-3.462298694144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682E-2"/>
                  <c:y val="0.153752632772755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15E-2"/>
                  <c:y val="0.200709309484462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57"/>
                  <c:y val="3.15952172645086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9"/>
                  <c:y val="-4.0320145167039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6"/>
                  <c:y val="-0.195324843653802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65"/>
                  <c:y val="-1.84938919672078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6477056"/>
        <c:axId val="296478592"/>
      </c:barChart>
      <c:catAx>
        <c:axId val="296477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478592"/>
        <c:crosses val="autoZero"/>
        <c:auto val="1"/>
        <c:lblAlgn val="ctr"/>
        <c:lblOffset val="100"/>
        <c:noMultiLvlLbl val="0"/>
      </c:catAx>
      <c:valAx>
        <c:axId val="296478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47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076E-2"/>
                  <c:y val="-4.93230043525969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21"/>
                  <c:y val="-4.29223680373286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31"/>
          <c:y val="1.6852949561080139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49076474136383"/>
          <c:y val="0.22063973063973064"/>
          <c:w val="0.45024844720496893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18"/>
                  <c:y val="-2.47726609931334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9E-2"/>
                  <c:y val="-9.55945279567326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76E-2"/>
                  <c:y val="-9.62056258119250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4E-2"/>
                  <c:y val="-4.6435218324982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87"/>
                  <c:y val="-7.84735809538959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593E-2"/>
                  <c:y val="-4.43516530130703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48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799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63E-2"/>
                  <c:y val="-2.81117325265552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6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19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1"/>
                  <c:y val="9.685304488454095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091E-2"/>
                  <c:y val="1.02518624565868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43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45E-2"/>
                  <c:y val="9.954664757814363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4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26"/>
                  <c:y val="3.32964818791589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3976E-2"/>
                  <c:y val="4.98979294254884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3"/>
                  <c:y val="-1.415732124393541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3E-2"/>
                  <c:y val="-0.169305124738195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dLbl>
              <c:idx val="1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5290368"/>
        <c:axId val="295288832"/>
      </c:barChart>
      <c:valAx>
        <c:axId val="295288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290368"/>
        <c:crosses val="autoZero"/>
        <c:crossBetween val="between"/>
      </c:valAx>
      <c:catAx>
        <c:axId val="295290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2888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5"/>
                  <c:y val="-4.1768761955603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41E-2"/>
                  <c:y val="-2.67422928066195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4637952"/>
        <c:axId val="294639488"/>
      </c:barChart>
      <c:catAx>
        <c:axId val="29463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639488"/>
        <c:crosses val="autoZero"/>
        <c:auto val="1"/>
        <c:lblAlgn val="ctr"/>
        <c:lblOffset val="100"/>
        <c:noMultiLvlLbl val="0"/>
      </c:catAx>
      <c:valAx>
        <c:axId val="29463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63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5494784"/>
        <c:axId val="295176448"/>
      </c:barChart>
      <c:catAx>
        <c:axId val="29549478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176448"/>
        <c:crosses val="autoZero"/>
        <c:auto val="1"/>
        <c:lblAlgn val="ctr"/>
        <c:lblOffset val="100"/>
        <c:tickLblSkip val="1"/>
        <c:noMultiLvlLbl val="0"/>
      </c:catAx>
      <c:valAx>
        <c:axId val="29517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49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95212160"/>
        <c:axId val="295213696"/>
      </c:barChart>
      <c:catAx>
        <c:axId val="29521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213696"/>
        <c:crosses val="autoZero"/>
        <c:auto val="1"/>
        <c:lblAlgn val="ctr"/>
        <c:lblOffset val="100"/>
        <c:noMultiLvlLbl val="0"/>
      </c:catAx>
      <c:valAx>
        <c:axId val="29521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21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A71F-446D-48DA-AD0C-5A4B15D9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2021-01-14T09:25:00Z</cp:lastPrinted>
  <dcterms:created xsi:type="dcterms:W3CDTF">2021-02-02T04:35:00Z</dcterms:created>
  <dcterms:modified xsi:type="dcterms:W3CDTF">2021-02-02T04:35:00Z</dcterms:modified>
</cp:coreProperties>
</file>