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5B29">
      <w:pPr>
        <w:pStyle w:val="5"/>
        <w:ind w:left="49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 к основной образовательной </w:t>
      </w:r>
    </w:p>
    <w:p w14:paraId="47E3B8D8">
      <w:pPr>
        <w:pStyle w:val="5"/>
        <w:ind w:left="49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программе - программе основного общего образования </w:t>
      </w:r>
    </w:p>
    <w:p w14:paraId="02EFCDAE">
      <w:pPr>
        <w:pStyle w:val="5"/>
        <w:ind w:left="49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МКОУ АГО «Бакряжская СОШ»</w:t>
      </w:r>
    </w:p>
    <w:p w14:paraId="2C7EE730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E928A20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60FE87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2C91C4B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C7F0B3F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F63C317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949A26F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45CC34B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4C98954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706AB08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8EB5080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D41586A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682D66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7641F5F">
      <w:pPr>
        <w:pStyle w:val="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8C0D674">
      <w:pPr>
        <w:pStyle w:val="5"/>
        <w:jc w:val="center"/>
        <w:rPr>
          <w:rFonts w:ascii="Times New Roman" w:hAnsi="Times New Roman" w:eastAsia="Times New Roman" w:cs="Times New Roman"/>
          <w:sz w:val="40"/>
          <w:szCs w:val="72"/>
        </w:rPr>
      </w:pPr>
      <w:r>
        <w:rPr>
          <w:rFonts w:ascii="Times New Roman" w:hAnsi="Times New Roman" w:eastAsia="Times New Roman" w:cs="Times New Roman"/>
          <w:sz w:val="40"/>
          <w:szCs w:val="72"/>
        </w:rPr>
        <w:t>УЧЕБНЫЙ ПЛАН</w:t>
      </w:r>
    </w:p>
    <w:p w14:paraId="22E8CE63">
      <w:pPr>
        <w:pStyle w:val="5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Муниципального казенного общеобразовательного учреждения</w:t>
      </w:r>
    </w:p>
    <w:p w14:paraId="11178F43">
      <w:pPr>
        <w:pStyle w:val="5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Ачитского городского округа</w:t>
      </w:r>
    </w:p>
    <w:p w14:paraId="47C557BE">
      <w:pPr>
        <w:pStyle w:val="5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«Бакряжская средняя общеобразовательная школа»</w:t>
      </w:r>
    </w:p>
    <w:p w14:paraId="3AAADD0C">
      <w:pPr>
        <w:pStyle w:val="5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начального общего образования</w:t>
      </w:r>
    </w:p>
    <w:p w14:paraId="29EE487D">
      <w:pPr>
        <w:pStyle w:val="5"/>
        <w:jc w:val="center"/>
        <w:rPr>
          <w:rFonts w:ascii="Times New Roman" w:hAnsi="Times New Roman" w:eastAsia="Times New Roman" w:cs="Times New Roman"/>
          <w:sz w:val="32"/>
          <w:szCs w:val="44"/>
        </w:rPr>
      </w:pPr>
    </w:p>
    <w:p w14:paraId="684A701F">
      <w:pPr>
        <w:pStyle w:val="5"/>
        <w:jc w:val="center"/>
        <w:rPr>
          <w:rFonts w:ascii="Times New Roman" w:hAnsi="Times New Roman" w:eastAsia="Times New Roman" w:cs="Times New Roman"/>
          <w:sz w:val="32"/>
          <w:szCs w:val="44"/>
        </w:rPr>
      </w:pPr>
      <w:r>
        <w:rPr>
          <w:rFonts w:ascii="Times New Roman" w:hAnsi="Times New Roman" w:eastAsia="Times New Roman" w:cs="Times New Roman"/>
          <w:sz w:val="32"/>
          <w:szCs w:val="44"/>
        </w:rPr>
        <w:t>2024-2025 уч.год</w:t>
      </w:r>
    </w:p>
    <w:p w14:paraId="7D7EB4C4">
      <w:pPr>
        <w:pStyle w:val="5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54F1434A">
      <w:pPr>
        <w:pStyle w:val="5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5903A83E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6F20577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89C0830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0A7E15C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BA24DC0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5CECAD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26169112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казенное общеобразовательное учреждение Ачитского городского округа "Бакряжская средняя общеобразовательная школа"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BABFCA6">
      <w:pP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Ачитского городского округа "Бакряжская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</w:t>
      </w:r>
    </w:p>
    <w:p w14:paraId="0B4987FB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недели, во 2-4 классах – 34 учебных недели. Для первоклассников предусмотрены дополнительные недельные каникулы в середине третьей четверти.</w:t>
      </w:r>
    </w:p>
    <w:p w14:paraId="76E2B4AB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5909E4D3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CDA7EE3">
      <w:pPr>
        <w:pStyle w:val="7"/>
        <w:numPr>
          <w:ilvl w:val="0"/>
          <w:numId w:val="1"/>
        </w:numPr>
        <w:spacing w:after="0" w:line="240" w:lineRule="auto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79588D98">
      <w:pPr>
        <w:pStyle w:val="7"/>
        <w:numPr>
          <w:ilvl w:val="0"/>
          <w:numId w:val="1"/>
        </w:numPr>
        <w:spacing w:after="0" w:line="240" w:lineRule="auto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14:paraId="2E02AC1D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7CABFB4F">
      <w:pPr>
        <w:pStyle w:val="7"/>
        <w:numPr>
          <w:ilvl w:val="0"/>
          <w:numId w:val="2"/>
        </w:numPr>
        <w:spacing w:after="0" w:line="240" w:lineRule="auto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421D6BBA">
      <w:pPr>
        <w:pStyle w:val="7"/>
        <w:numPr>
          <w:ilvl w:val="0"/>
          <w:numId w:val="2"/>
        </w:numPr>
        <w:spacing w:after="0" w:line="240" w:lineRule="auto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B7CAC5F">
      <w:pPr>
        <w:pStyle w:val="7"/>
        <w:numPr>
          <w:ilvl w:val="0"/>
          <w:numId w:val="2"/>
        </w:numPr>
        <w:spacing w:after="0" w:line="240" w:lineRule="auto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7EC431E7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Style w:val="6"/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Учебные занятия для учащихся 2-4 классов проводятся по 5-и дневной учебной неделе.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Занятия в 1-4 классах организованы в одну смену. Во время занятий необходим перерыв для гимнастики не менее 2 минут. </w:t>
      </w:r>
    </w:p>
    <w:p w14:paraId="0889168D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09D91B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В обязательную часть учебного плана входят следующие обязательные для изучения предметные области и учебные предметы: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352"/>
      </w:tblGrid>
      <w:tr w14:paraId="1BD54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26C9244B">
            <w:pPr>
              <w:pStyle w:val="5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5352" w:type="dxa"/>
          </w:tcPr>
          <w:p w14:paraId="3B0CDF72">
            <w:pPr>
              <w:pStyle w:val="5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Учебные предметы (учебные модули)</w:t>
            </w:r>
          </w:p>
        </w:tc>
      </w:tr>
      <w:tr w14:paraId="7EB99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7238959E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352" w:type="dxa"/>
          </w:tcPr>
          <w:p w14:paraId="78FA3D32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язык,</w:t>
            </w:r>
          </w:p>
          <w:p w14:paraId="6605EC16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14:paraId="77696F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02DA28F7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352" w:type="dxa"/>
          </w:tcPr>
          <w:p w14:paraId="63B23CBA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14:paraId="4AB09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24D9086A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52" w:type="dxa"/>
          </w:tcPr>
          <w:p w14:paraId="06A67637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14:paraId="56D02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5857966D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5352" w:type="dxa"/>
          </w:tcPr>
          <w:p w14:paraId="682E131C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14:paraId="3E01A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FA858D6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52" w:type="dxa"/>
          </w:tcPr>
          <w:p w14:paraId="1F33D13E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этики:</w:t>
            </w:r>
          </w:p>
          <w:p w14:paraId="5629C906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модуль: «Основы православной культуры»;</w:t>
            </w:r>
          </w:p>
          <w:p w14:paraId="6182C98E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модуль: «Основы иудейской культуры»;</w:t>
            </w:r>
          </w:p>
          <w:p w14:paraId="085A7A70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модуль: «Основы буддийской культуры»;</w:t>
            </w:r>
          </w:p>
          <w:p w14:paraId="6E0EC275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модуль: «Основы исламской культуры»;</w:t>
            </w:r>
          </w:p>
          <w:p w14:paraId="15B3C37A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модуль: «Основы мировых религиозных культур»;</w:t>
            </w:r>
          </w:p>
          <w:p w14:paraId="509ED1A8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модуль: «Основы светской этики»</w:t>
            </w:r>
          </w:p>
        </w:tc>
      </w:tr>
      <w:tr w14:paraId="178C9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5E79B1B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352" w:type="dxa"/>
          </w:tcPr>
          <w:p w14:paraId="11503494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Изобразительное искусство,</w:t>
            </w:r>
          </w:p>
          <w:p w14:paraId="34970D04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14:paraId="0AB62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0098D59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352" w:type="dxa"/>
          </w:tcPr>
          <w:p w14:paraId="41009F42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Труд (Технология) </w:t>
            </w:r>
          </w:p>
        </w:tc>
      </w:tr>
      <w:tr w14:paraId="6C8C0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46094DC1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352" w:type="dxa"/>
          </w:tcPr>
          <w:p w14:paraId="44ABFAD9">
            <w:pPr>
              <w:pStyle w:val="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</w:tbl>
    <w:p w14:paraId="19719E26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</w:p>
    <w:p w14:paraId="5420D64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Время, отводимое на данную часть внутри максимально допустимой недельной нагрузки обучающихся, использовано на формирование и развитие функциональной грамотности обучающихся курсом «Функциональная грамотность»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.</w:t>
      </w:r>
    </w:p>
    <w:p w14:paraId="20AC0F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В Муниципальное казенное общеобразовательное учреждение Ачитского городского округа "Бакряжская средняя общеобразовательная школа" 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14:paraId="0319E5CA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     При изучении предметной области «Основы религиозных культур и светской этики» по заявлению родителей (законных представителей) несовершеннолетних обучающихся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изучается учебным модулем «Основы мировых религиозных культур».</w:t>
      </w:r>
    </w:p>
    <w:p w14:paraId="061C8B9C">
      <w:pPr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          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75B71CAF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02E165D1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Сроки проведения промежуточной аттестации определяются календарным учебным графиком ООП НОО.</w:t>
      </w:r>
      <w:r>
        <w:rPr>
          <w:rStyle w:val="6"/>
          <w:rFonts w:ascii="Times New Roman" w:hAnsi="Times New Roman" w:cs="Times New Roman"/>
          <w:sz w:val="24"/>
          <w:szCs w:val="24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6"/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6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Муниципальное казенное общеобразовательное учреждение Ачитского городского округа "Бакряжская средняя общеобразовательная школа".</w:t>
      </w:r>
    </w:p>
    <w:p w14:paraId="56AC1D81">
      <w:pPr>
        <w:ind w:firstLine="567"/>
        <w:contextualSpacing/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4E9283B6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МКОУ АГО «Бакряжская СОШ» определены следующие формы промежуточной аттестации: </w:t>
      </w:r>
    </w:p>
    <w:p w14:paraId="4D91DBD7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378FEBF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3"/>
        <w:tblW w:w="964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02"/>
        <w:gridCol w:w="1559"/>
        <w:gridCol w:w="1560"/>
        <w:gridCol w:w="1560"/>
        <w:gridCol w:w="1560"/>
      </w:tblGrid>
      <w:tr w14:paraId="1EA47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  <w:vMerge w:val="restart"/>
          </w:tcPr>
          <w:p w14:paraId="30F2AC48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Предметные области</w:t>
            </w:r>
          </w:p>
        </w:tc>
        <w:tc>
          <w:tcPr>
            <w:tcW w:w="1702" w:type="dxa"/>
            <w:vMerge w:val="restart"/>
            <w:vAlign w:val="center"/>
          </w:tcPr>
          <w:p w14:paraId="7650C69D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Учебные</w:t>
            </w:r>
          </w:p>
          <w:p w14:paraId="52585B55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предметы</w:t>
            </w:r>
          </w:p>
        </w:tc>
        <w:tc>
          <w:tcPr>
            <w:tcW w:w="1559" w:type="dxa"/>
          </w:tcPr>
          <w:p w14:paraId="1FB7B0B0">
            <w:pPr>
              <w:pStyle w:val="5"/>
              <w:tabs>
                <w:tab w:val="left" w:pos="4500"/>
                <w:tab w:val="left" w:pos="9180"/>
                <w:tab w:val="left" w:pos="9360"/>
              </w:tabs>
              <w:ind w:firstLine="7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0143340C">
            <w:pPr>
              <w:pStyle w:val="5"/>
              <w:tabs>
                <w:tab w:val="left" w:pos="4500"/>
                <w:tab w:val="left" w:pos="9180"/>
                <w:tab w:val="left" w:pos="9360"/>
              </w:tabs>
              <w:ind w:firstLine="7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Классы </w:t>
            </w:r>
          </w:p>
        </w:tc>
      </w:tr>
      <w:tr w14:paraId="5C1F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  <w:vMerge w:val="continue"/>
          </w:tcPr>
          <w:p w14:paraId="68EDF1BB">
            <w:pPr>
              <w:pStyle w:val="5"/>
              <w:widowControl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53AE6804">
            <w:pPr>
              <w:pStyle w:val="5"/>
              <w:widowControl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32FE093B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</w:t>
            </w:r>
          </w:p>
        </w:tc>
        <w:tc>
          <w:tcPr>
            <w:tcW w:w="1560" w:type="dxa"/>
          </w:tcPr>
          <w:p w14:paraId="2DCF232B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II</w:t>
            </w:r>
          </w:p>
        </w:tc>
        <w:tc>
          <w:tcPr>
            <w:tcW w:w="1560" w:type="dxa"/>
          </w:tcPr>
          <w:p w14:paraId="1C7CD345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III</w:t>
            </w:r>
          </w:p>
        </w:tc>
        <w:tc>
          <w:tcPr>
            <w:tcW w:w="1560" w:type="dxa"/>
          </w:tcPr>
          <w:p w14:paraId="31B209B4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IV</w:t>
            </w:r>
          </w:p>
        </w:tc>
      </w:tr>
      <w:tr w14:paraId="4CFE0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6"/>
          </w:tcPr>
          <w:p w14:paraId="11ADB286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  <w:t>1. Обязательная часть</w:t>
            </w:r>
          </w:p>
        </w:tc>
      </w:tr>
      <w:tr w14:paraId="132F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  <w:vMerge w:val="restart"/>
          </w:tcPr>
          <w:p w14:paraId="6C15AA83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Русский язык и литературное чтение</w:t>
            </w:r>
          </w:p>
        </w:tc>
        <w:tc>
          <w:tcPr>
            <w:tcW w:w="1702" w:type="dxa"/>
            <w:vAlign w:val="center"/>
          </w:tcPr>
          <w:p w14:paraId="24897ABB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14:paraId="3D1E04F8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  <w:vAlign w:val="center"/>
          </w:tcPr>
          <w:p w14:paraId="2A98BE71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Контрольный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диктант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EC7949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проверочная работа</w:t>
            </w:r>
          </w:p>
        </w:tc>
        <w:tc>
          <w:tcPr>
            <w:tcW w:w="1560" w:type="dxa"/>
            <w:vAlign w:val="center"/>
          </w:tcPr>
          <w:p w14:paraId="5CEE3F5F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проверочная работа</w:t>
            </w:r>
          </w:p>
        </w:tc>
      </w:tr>
      <w:tr w14:paraId="304CC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99" w:type="dxa"/>
            <w:vMerge w:val="continue"/>
          </w:tcPr>
          <w:p w14:paraId="681E8A3C">
            <w:pPr>
              <w:pStyle w:val="5"/>
              <w:widowControl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2" w:type="dxa"/>
            <w:vAlign w:val="center"/>
          </w:tcPr>
          <w:p w14:paraId="4456F324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Литературное чтение</w:t>
            </w:r>
          </w:p>
        </w:tc>
        <w:tc>
          <w:tcPr>
            <w:tcW w:w="1559" w:type="dxa"/>
            <w:vAlign w:val="center"/>
          </w:tcPr>
          <w:p w14:paraId="7CB92921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1DBE8ED9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проверочная работа</w:t>
            </w:r>
          </w:p>
        </w:tc>
        <w:tc>
          <w:tcPr>
            <w:tcW w:w="1560" w:type="dxa"/>
            <w:shd w:val="clear" w:color="auto" w:fill="FFFFFF"/>
          </w:tcPr>
          <w:p w14:paraId="36928808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проверочная работа</w:t>
            </w:r>
          </w:p>
        </w:tc>
        <w:tc>
          <w:tcPr>
            <w:tcW w:w="1560" w:type="dxa"/>
            <w:vAlign w:val="center"/>
          </w:tcPr>
          <w:p w14:paraId="4DB92E49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проверочная работа</w:t>
            </w:r>
          </w:p>
        </w:tc>
      </w:tr>
      <w:tr w14:paraId="4BDA2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544B23E3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Иностранный язык</w:t>
            </w:r>
          </w:p>
        </w:tc>
        <w:tc>
          <w:tcPr>
            <w:tcW w:w="1702" w:type="dxa"/>
          </w:tcPr>
          <w:p w14:paraId="2C228210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Иностранный язык (английский)</w:t>
            </w:r>
          </w:p>
        </w:tc>
        <w:tc>
          <w:tcPr>
            <w:tcW w:w="1559" w:type="dxa"/>
            <w:vAlign w:val="center"/>
          </w:tcPr>
          <w:p w14:paraId="6D84659F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512A59C7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  <w:shd w:val="clear" w:color="auto" w:fill="FFFFFF"/>
          </w:tcPr>
          <w:p w14:paraId="7091DCD1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</w:tcPr>
          <w:p w14:paraId="6833C65D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4DF79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3805E9B5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Математика и информатика</w:t>
            </w:r>
          </w:p>
        </w:tc>
        <w:tc>
          <w:tcPr>
            <w:tcW w:w="1702" w:type="dxa"/>
          </w:tcPr>
          <w:p w14:paraId="341BB183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1559" w:type="dxa"/>
            <w:vAlign w:val="center"/>
          </w:tcPr>
          <w:p w14:paraId="06D11DE5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5872CF70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</w:p>
        </w:tc>
        <w:tc>
          <w:tcPr>
            <w:tcW w:w="1560" w:type="dxa"/>
            <w:shd w:val="clear" w:color="auto" w:fill="FFFFFF"/>
          </w:tcPr>
          <w:p w14:paraId="219C3CB2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</w:p>
        </w:tc>
        <w:tc>
          <w:tcPr>
            <w:tcW w:w="1560" w:type="dxa"/>
            <w:vAlign w:val="center"/>
          </w:tcPr>
          <w:p w14:paraId="13ECAEAB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контрольная работа/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>ВПР</w:t>
            </w:r>
          </w:p>
        </w:tc>
      </w:tr>
      <w:tr w14:paraId="267E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717D9947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Обществознание и естествознание (Окружающий мир)</w:t>
            </w:r>
          </w:p>
        </w:tc>
        <w:tc>
          <w:tcPr>
            <w:tcW w:w="1702" w:type="dxa"/>
          </w:tcPr>
          <w:p w14:paraId="657D9EF3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14:paraId="39838046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6F023559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проверочная работа</w:t>
            </w:r>
          </w:p>
        </w:tc>
        <w:tc>
          <w:tcPr>
            <w:tcW w:w="1560" w:type="dxa"/>
            <w:shd w:val="clear" w:color="auto" w:fill="FFFFFF"/>
          </w:tcPr>
          <w:p w14:paraId="2BD76731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проверочная работа</w:t>
            </w:r>
          </w:p>
        </w:tc>
        <w:tc>
          <w:tcPr>
            <w:tcW w:w="1560" w:type="dxa"/>
            <w:vAlign w:val="center"/>
          </w:tcPr>
          <w:p w14:paraId="363ECE3C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проверочная работа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/ВПР</w:t>
            </w:r>
          </w:p>
        </w:tc>
      </w:tr>
      <w:tr w14:paraId="0CE3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30029B6A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Основы религиозных культур и светской этики</w:t>
            </w:r>
          </w:p>
        </w:tc>
        <w:tc>
          <w:tcPr>
            <w:tcW w:w="1702" w:type="dxa"/>
          </w:tcPr>
          <w:p w14:paraId="42BFCF62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Основы религиозных культур</w:t>
            </w:r>
          </w:p>
          <w:p w14:paraId="7045BDD4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 светской этики</w:t>
            </w:r>
          </w:p>
        </w:tc>
        <w:tc>
          <w:tcPr>
            <w:tcW w:w="1559" w:type="dxa"/>
            <w:vAlign w:val="center"/>
          </w:tcPr>
          <w:p w14:paraId="645229F6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нет</w:t>
            </w:r>
          </w:p>
        </w:tc>
        <w:tc>
          <w:tcPr>
            <w:tcW w:w="1560" w:type="dxa"/>
            <w:vAlign w:val="center"/>
          </w:tcPr>
          <w:p w14:paraId="2836068C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7F5BDF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нет</w:t>
            </w:r>
          </w:p>
        </w:tc>
        <w:tc>
          <w:tcPr>
            <w:tcW w:w="1560" w:type="dxa"/>
            <w:vAlign w:val="center"/>
          </w:tcPr>
          <w:p w14:paraId="71E2D5F7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7376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  <w:vMerge w:val="restart"/>
          </w:tcPr>
          <w:p w14:paraId="4CB9891C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Искусство</w:t>
            </w:r>
          </w:p>
        </w:tc>
        <w:tc>
          <w:tcPr>
            <w:tcW w:w="1702" w:type="dxa"/>
            <w:vAlign w:val="center"/>
          </w:tcPr>
          <w:p w14:paraId="2636E49D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Музыка</w:t>
            </w:r>
          </w:p>
        </w:tc>
        <w:tc>
          <w:tcPr>
            <w:tcW w:w="1559" w:type="dxa"/>
            <w:vAlign w:val="center"/>
          </w:tcPr>
          <w:p w14:paraId="7B93B803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0B42D14F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  <w:shd w:val="clear" w:color="auto" w:fill="FFFFFF"/>
          </w:tcPr>
          <w:p w14:paraId="479E57B6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</w:tcPr>
          <w:p w14:paraId="376A6885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1A60C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  <w:vMerge w:val="continue"/>
          </w:tcPr>
          <w:p w14:paraId="524B2ABD">
            <w:pPr>
              <w:pStyle w:val="5"/>
              <w:widowControl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2" w:type="dxa"/>
            <w:vAlign w:val="center"/>
          </w:tcPr>
          <w:p w14:paraId="115573F5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ИЗО</w:t>
            </w:r>
          </w:p>
        </w:tc>
        <w:tc>
          <w:tcPr>
            <w:tcW w:w="1559" w:type="dxa"/>
            <w:vAlign w:val="center"/>
          </w:tcPr>
          <w:p w14:paraId="4C3E268A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11DE11E7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  <w:shd w:val="clear" w:color="auto" w:fill="FFFFFF"/>
          </w:tcPr>
          <w:p w14:paraId="055521B7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</w:tcPr>
          <w:p w14:paraId="2B776D31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24631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57B6AE4E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Технология</w:t>
            </w:r>
          </w:p>
        </w:tc>
        <w:tc>
          <w:tcPr>
            <w:tcW w:w="1702" w:type="dxa"/>
          </w:tcPr>
          <w:p w14:paraId="6709595B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Труд (Технология)</w:t>
            </w:r>
          </w:p>
        </w:tc>
        <w:tc>
          <w:tcPr>
            <w:tcW w:w="1559" w:type="dxa"/>
            <w:vAlign w:val="center"/>
          </w:tcPr>
          <w:p w14:paraId="7A497548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3178239A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</w:p>
        </w:tc>
        <w:tc>
          <w:tcPr>
            <w:tcW w:w="1560" w:type="dxa"/>
            <w:shd w:val="clear" w:color="auto" w:fill="FFFFFF"/>
          </w:tcPr>
          <w:p w14:paraId="216E2D79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</w:p>
        </w:tc>
        <w:tc>
          <w:tcPr>
            <w:tcW w:w="1560" w:type="dxa"/>
          </w:tcPr>
          <w:p w14:paraId="39CCD423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Портфолио</w:t>
            </w:r>
          </w:p>
        </w:tc>
      </w:tr>
      <w:tr w14:paraId="3DCAE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0055B3BE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Физическая культура</w:t>
            </w:r>
          </w:p>
        </w:tc>
        <w:tc>
          <w:tcPr>
            <w:tcW w:w="1702" w:type="dxa"/>
          </w:tcPr>
          <w:p w14:paraId="14C3F5E2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14:paraId="1FEC97D6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</w:tcPr>
          <w:p w14:paraId="0426F5BD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</w:p>
        </w:tc>
        <w:tc>
          <w:tcPr>
            <w:tcW w:w="1560" w:type="dxa"/>
            <w:shd w:val="clear" w:color="auto" w:fill="FFFFFF"/>
          </w:tcPr>
          <w:p w14:paraId="078EBF81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</w:p>
        </w:tc>
        <w:tc>
          <w:tcPr>
            <w:tcW w:w="1560" w:type="dxa"/>
          </w:tcPr>
          <w:p w14:paraId="3BB7079A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highlight w:val="white"/>
                <w:lang w:val="ru-RU"/>
              </w:rPr>
              <w:t xml:space="preserve"> контрольная работа</w:t>
            </w:r>
            <w:bookmarkStart w:id="0" w:name="_GoBack"/>
            <w:bookmarkEnd w:id="0"/>
          </w:p>
        </w:tc>
      </w:tr>
      <w:tr w14:paraId="2A54F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9" w:type="dxa"/>
          </w:tcPr>
          <w:p w14:paraId="4236A237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7941" w:type="dxa"/>
            <w:gridSpan w:val="5"/>
          </w:tcPr>
          <w:p w14:paraId="4B285F71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  <w:t>2. Часть, формируемая участниками образовательных отношений</w:t>
            </w:r>
          </w:p>
        </w:tc>
      </w:tr>
      <w:tr w14:paraId="6E6BA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01" w:type="dxa"/>
            <w:gridSpan w:val="2"/>
          </w:tcPr>
          <w:p w14:paraId="5581BBBC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Функциональная грамотность</w:t>
            </w:r>
          </w:p>
        </w:tc>
        <w:tc>
          <w:tcPr>
            <w:tcW w:w="1559" w:type="dxa"/>
            <w:vAlign w:val="center"/>
          </w:tcPr>
          <w:p w14:paraId="5DC4BA9A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14EB6C76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</w:tcPr>
          <w:p w14:paraId="2AF0D5EF">
            <w:r>
              <w:rPr>
                <w:rFonts w:ascii="Times New Roman" w:hAnsi="Times New Roman" w:eastAsia="Times New Roman" w:cs="Times New Roman"/>
                <w:highlight w:val="white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  <w:tc>
          <w:tcPr>
            <w:tcW w:w="1560" w:type="dxa"/>
            <w:vAlign w:val="center"/>
          </w:tcPr>
          <w:p w14:paraId="1D5CE809">
            <w:pPr>
              <w:pStyle w:val="5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нет</w:t>
            </w:r>
          </w:p>
        </w:tc>
      </w:tr>
    </w:tbl>
    <w:p w14:paraId="78068332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0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Иные формы промежуточной аттестации могут предусматриваться. </w:t>
      </w:r>
    </w:p>
    <w:p w14:paraId="7EAEFCBE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0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Сроки проведения промежуточной аттестации обучающихся за текущий учебный год определяются приказом директора школы не позднее, чем за месяц до начала проведения промежуточной аттестации.</w:t>
      </w:r>
    </w:p>
    <w:p w14:paraId="71FB30C7">
      <w:pPr>
        <w:ind w:firstLine="567"/>
        <w:contextualSpacing/>
        <w:jc w:val="both"/>
        <w:rPr>
          <w:rStyle w:val="6"/>
          <w:rFonts w:asciiTheme="majorBidi" w:hAnsiTheme="majorBidi" w:cstheme="majorBidi"/>
          <w:sz w:val="28"/>
          <w:szCs w:val="28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4BB86ED0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E36D4BE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DB5C5A0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4DDB425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97799E3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6983526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2D3DA46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3DCFBF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0010DB8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EBC36F3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481274A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CCECBF2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8362762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1A82D81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FBD4A6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6B185AA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A6ED96A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468B536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841B64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A4ECFF3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BF7EADF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ED5571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1B22F48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Учебный план (недельный) начального общего образования</w:t>
      </w:r>
    </w:p>
    <w:p w14:paraId="1F1F246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на 20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учебный год</w:t>
      </w:r>
    </w:p>
    <w:p w14:paraId="7954A6BA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4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134"/>
        <w:gridCol w:w="1134"/>
        <w:gridCol w:w="1134"/>
        <w:gridCol w:w="1134"/>
        <w:gridCol w:w="1134"/>
      </w:tblGrid>
      <w:tr w14:paraId="76990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shd w:val="clear" w:color="auto" w:fill="D9D9D9"/>
          </w:tcPr>
          <w:p w14:paraId="2AA7C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5F9A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36" w:type="dxa"/>
            <w:gridSpan w:val="4"/>
            <w:shd w:val="clear" w:color="auto" w:fill="D9D9D9"/>
          </w:tcPr>
          <w:p w14:paraId="1937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636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14:paraId="7F428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94CE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4104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0F7AC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3B4C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439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57A89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D9D9D9"/>
          </w:tcPr>
          <w:p w14:paraId="74D00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CF40D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FFFFB3"/>
          </w:tcPr>
          <w:p w14:paraId="75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4"/>
            <w:shd w:val="clear" w:color="auto" w:fill="FFFFB3"/>
          </w:tcPr>
          <w:p w14:paraId="4049A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continue"/>
            <w:shd w:val="clear" w:color="auto" w:fill="FFFFB3"/>
          </w:tcPr>
          <w:p w14:paraId="5EB38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037E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225C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</w:tcPr>
          <w:p w14:paraId="6107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35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FF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59B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979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0FE9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6EB62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7988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2620C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E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59A9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17E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98E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481A9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E09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6B0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14:paraId="027DB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E1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9AC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40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84D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2F8848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BE8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14:paraId="03F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52BF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E5B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72F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5168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683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38375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EDF8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126" w:type="dxa"/>
          </w:tcPr>
          <w:p w14:paraId="6852F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0FC9F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D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9FD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2F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E28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47D89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E7FB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14:paraId="52B9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14:paraId="166DA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8CB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63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78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A6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C409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6DE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14:paraId="527D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1A3B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71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EAA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6ED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0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7A89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0D7FC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8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18B2F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A4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A3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59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B1B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FFA8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8A2D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14:paraId="4D0FE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14:paraId="2E2D8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C7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7A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D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AD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E9156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2E28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14:paraId="141F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57F3B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EB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7C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5A8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DB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6BFBB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00FF00"/>
          </w:tcPr>
          <w:p w14:paraId="69788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14:paraId="64FEE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00FF00"/>
          </w:tcPr>
          <w:p w14:paraId="7A5CB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00FF00"/>
          </w:tcPr>
          <w:p w14:paraId="67F88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00FF00"/>
          </w:tcPr>
          <w:p w14:paraId="3A72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00FF00"/>
          </w:tcPr>
          <w:p w14:paraId="6DDC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14:paraId="05D80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FFFFB3"/>
          </w:tcPr>
          <w:p w14:paraId="421EC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15CE0D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D9D9D9"/>
          </w:tcPr>
          <w:p w14:paraId="2FC78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670" w:type="dxa"/>
            <w:gridSpan w:val="5"/>
            <w:shd w:val="clear" w:color="auto" w:fill="D9D9D9"/>
          </w:tcPr>
          <w:p w14:paraId="13758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14:paraId="501BA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5BCD8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14:paraId="3C5F9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F6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C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FC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A1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55E9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00FF00"/>
          </w:tcPr>
          <w:p w14:paraId="3ED9A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14:paraId="4D9E8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14:paraId="2364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14:paraId="40D5E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14:paraId="586DA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00FF00"/>
          </w:tcPr>
          <w:p w14:paraId="3E6AF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0602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00FF00"/>
          </w:tcPr>
          <w:p w14:paraId="02B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14:paraId="5436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00FF00"/>
          </w:tcPr>
          <w:p w14:paraId="3037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00FF00"/>
          </w:tcPr>
          <w:p w14:paraId="0422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00FF00"/>
          </w:tcPr>
          <w:p w14:paraId="0E8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00FF00"/>
          </w:tcPr>
          <w:p w14:paraId="734A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629F52D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DD34988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745AE0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54776E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7CB7DC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531BAE1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A6A56D3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8A81425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CAF1D15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A5EA3BB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7F00BAD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FDCB1F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3B0FF4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990D608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B4AA5CB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D7DA36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3D44F50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21316DD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3D684F4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Учебный план (годовой) начального общего образования</w:t>
      </w:r>
    </w:p>
    <w:p w14:paraId="33FF2025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на 20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-2025 учебный год</w:t>
      </w:r>
    </w:p>
    <w:p w14:paraId="7F69274E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4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134"/>
        <w:gridCol w:w="1134"/>
        <w:gridCol w:w="1134"/>
        <w:gridCol w:w="1134"/>
        <w:gridCol w:w="1134"/>
      </w:tblGrid>
      <w:tr w14:paraId="0E5BE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shd w:val="clear" w:color="auto" w:fill="D9D9D9"/>
          </w:tcPr>
          <w:p w14:paraId="74AB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15D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36" w:type="dxa"/>
            <w:gridSpan w:val="4"/>
            <w:shd w:val="clear" w:color="auto" w:fill="D9D9D9"/>
          </w:tcPr>
          <w:p w14:paraId="6887D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943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14:paraId="0A749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0698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5A5D8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28AFC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1E59A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77E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74159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D9D9D9"/>
          </w:tcPr>
          <w:p w14:paraId="09F1A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987B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FFFFB3"/>
          </w:tcPr>
          <w:p w14:paraId="615C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4"/>
            <w:shd w:val="clear" w:color="auto" w:fill="FFFFB3"/>
          </w:tcPr>
          <w:p w14:paraId="1B93C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continue"/>
            <w:shd w:val="clear" w:color="auto" w:fill="FFFFB3"/>
          </w:tcPr>
          <w:p w14:paraId="0ED1F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78E9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4188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</w:tcPr>
          <w:p w14:paraId="266CB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6628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0CB5E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3E62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3AB5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5EB8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14:paraId="77D754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762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7BC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0388B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14:paraId="6974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07D9D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5544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52FD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14:paraId="197DF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147E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271AC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14:paraId="28B9F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6BA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2F19D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034D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71CC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14:paraId="4B7AD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E70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14:paraId="633B9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7BCCD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14:paraId="061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75DE9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15358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2EAE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14:paraId="55135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EA0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126" w:type="dxa"/>
          </w:tcPr>
          <w:p w14:paraId="31418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5D85E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099AD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2754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4F8EF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8F69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14:paraId="6B90C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D6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14:paraId="2C48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14:paraId="265C9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C5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FB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5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B9CB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132E9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0C4C9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14:paraId="6CD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2D13D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65D8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8DFD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156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B69D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14:paraId="66FEC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33BC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F0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2CF3C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1C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885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9649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978E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14:paraId="7E1C4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60F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14:paraId="192DA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14:paraId="5A4AD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6ABB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D42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30B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840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14:paraId="0F1ED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9C2E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14:paraId="3B76A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1774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FCB9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DD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186E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EEFA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14:paraId="79E42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00FF00"/>
          </w:tcPr>
          <w:p w14:paraId="4CCBA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14:paraId="298E9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shd w:val="clear" w:color="auto" w:fill="00FF00"/>
          </w:tcPr>
          <w:p w14:paraId="09A4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134" w:type="dxa"/>
            <w:shd w:val="clear" w:color="auto" w:fill="00FF00"/>
          </w:tcPr>
          <w:p w14:paraId="3543E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134" w:type="dxa"/>
            <w:shd w:val="clear" w:color="auto" w:fill="00FF00"/>
          </w:tcPr>
          <w:p w14:paraId="316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00FF00"/>
          </w:tcPr>
          <w:p w14:paraId="667C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</w:tr>
      <w:tr w14:paraId="53E62F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FFFFB3"/>
          </w:tcPr>
          <w:p w14:paraId="0F7CC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5C592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D9D9D9"/>
          </w:tcPr>
          <w:p w14:paraId="3485C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670" w:type="dxa"/>
            <w:gridSpan w:val="5"/>
            <w:shd w:val="clear" w:color="auto" w:fill="D9D9D9"/>
          </w:tcPr>
          <w:p w14:paraId="311E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14:paraId="47DF6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18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14:paraId="05A8C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11DE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A59E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9BFF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B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14:paraId="385EDF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00FF00"/>
          </w:tcPr>
          <w:p w14:paraId="32B4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14:paraId="4B62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14:paraId="201DC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14:paraId="0FBB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14:paraId="1027F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00FF00"/>
          </w:tcPr>
          <w:p w14:paraId="5962B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14:paraId="73F3C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00FF00"/>
          </w:tcPr>
          <w:p w14:paraId="53F5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14:paraId="3F3CD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00FF00"/>
          </w:tcPr>
          <w:p w14:paraId="1131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00FF00"/>
          </w:tcPr>
          <w:p w14:paraId="1E61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00FF00"/>
          </w:tcPr>
          <w:p w14:paraId="3498E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  <w:shd w:val="clear" w:color="auto" w:fill="00FF00"/>
          </w:tcPr>
          <w:p w14:paraId="6996F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14:paraId="09810A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FCE3FC"/>
          </w:tcPr>
          <w:p w14:paraId="5871D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14:paraId="3B91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CE3FC"/>
          </w:tcPr>
          <w:p w14:paraId="5F73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14:paraId="5207A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14:paraId="6BD9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14:paraId="46BBE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97C5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shd w:val="clear" w:color="auto" w:fill="FCE3FC"/>
          </w:tcPr>
          <w:p w14:paraId="7434C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14:paraId="2ACC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FCE3FC"/>
          </w:tcPr>
          <w:p w14:paraId="47A49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CE3FC"/>
          </w:tcPr>
          <w:p w14:paraId="48218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CE3FC"/>
          </w:tcPr>
          <w:p w14:paraId="33F1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CE3FC"/>
          </w:tcPr>
          <w:p w14:paraId="01CEC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14:paraId="22A15A6A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DDDD436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0BF3E6F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20CE"/>
    <w:rsid w:val="0000548A"/>
    <w:rsid w:val="00086C3F"/>
    <w:rsid w:val="000B0C20"/>
    <w:rsid w:val="000D1F8E"/>
    <w:rsid w:val="000E0FA6"/>
    <w:rsid w:val="00123AD4"/>
    <w:rsid w:val="00187E57"/>
    <w:rsid w:val="00191D2D"/>
    <w:rsid w:val="002E03F1"/>
    <w:rsid w:val="00302563"/>
    <w:rsid w:val="0031198B"/>
    <w:rsid w:val="00325CA7"/>
    <w:rsid w:val="00340051"/>
    <w:rsid w:val="00392D66"/>
    <w:rsid w:val="003A2D19"/>
    <w:rsid w:val="003E205C"/>
    <w:rsid w:val="004020CE"/>
    <w:rsid w:val="00410CF3"/>
    <w:rsid w:val="0044404E"/>
    <w:rsid w:val="00450390"/>
    <w:rsid w:val="004D621F"/>
    <w:rsid w:val="00512FF1"/>
    <w:rsid w:val="00550E37"/>
    <w:rsid w:val="00557054"/>
    <w:rsid w:val="0056240F"/>
    <w:rsid w:val="005F2EC4"/>
    <w:rsid w:val="0065049F"/>
    <w:rsid w:val="006A7C0E"/>
    <w:rsid w:val="006C4B5D"/>
    <w:rsid w:val="0070388A"/>
    <w:rsid w:val="00735FBA"/>
    <w:rsid w:val="007B2BC5"/>
    <w:rsid w:val="007C7085"/>
    <w:rsid w:val="007E6165"/>
    <w:rsid w:val="00816A4D"/>
    <w:rsid w:val="008568AC"/>
    <w:rsid w:val="008C4FE2"/>
    <w:rsid w:val="008E3258"/>
    <w:rsid w:val="00A2641D"/>
    <w:rsid w:val="00A744BD"/>
    <w:rsid w:val="00A865BA"/>
    <w:rsid w:val="00A90028"/>
    <w:rsid w:val="00B03F6C"/>
    <w:rsid w:val="00B575F9"/>
    <w:rsid w:val="00B76FFF"/>
    <w:rsid w:val="00BF61CC"/>
    <w:rsid w:val="00C656D2"/>
    <w:rsid w:val="00C66E1E"/>
    <w:rsid w:val="00CA217D"/>
    <w:rsid w:val="00CE4E6A"/>
    <w:rsid w:val="00D119B2"/>
    <w:rsid w:val="00D12D9B"/>
    <w:rsid w:val="00D40085"/>
    <w:rsid w:val="00D46D6A"/>
    <w:rsid w:val="00D93030"/>
    <w:rsid w:val="00DA5A79"/>
    <w:rsid w:val="00E1175C"/>
    <w:rsid w:val="00E23175"/>
    <w:rsid w:val="00E267EF"/>
    <w:rsid w:val="00E548EC"/>
    <w:rsid w:val="00E83587"/>
    <w:rsid w:val="00EA5B46"/>
    <w:rsid w:val="00EC29D0"/>
    <w:rsid w:val="00F15A9C"/>
    <w:rsid w:val="00F27A4E"/>
    <w:rsid w:val="00F81F91"/>
    <w:rsid w:val="00FB5F09"/>
    <w:rsid w:val="00FD6B0E"/>
    <w:rsid w:val="6F8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character" w:customStyle="1" w:styleId="6">
    <w:name w:val="markedcontent"/>
    <w:basedOn w:val="2"/>
    <w:qFormat/>
    <w:uiPriority w:val="0"/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1969</Words>
  <Characters>11224</Characters>
  <Lines>93</Lines>
  <Paragraphs>26</Paragraphs>
  <TotalTime>744</TotalTime>
  <ScaleCrop>false</ScaleCrop>
  <LinksUpToDate>false</LinksUpToDate>
  <CharactersWithSpaces>13167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2022-04-13T07:46:00Z</dcterms:created>
  <dc:creator>Наталья Павловна</dc:creator>
  <cp:lastModifiedBy>Наталья Павловна</cp:lastModifiedBy>
  <cp:lastPrinted>2024-06-14T04:53:00Z</cp:lastPrinted>
  <dcterms:modified xsi:type="dcterms:W3CDTF">2024-09-26T07:39:16Z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0CC2489784894E228E2C6E28B210D10A_12</vt:lpwstr>
  </property>
</Properties>
</file>