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FF6D9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5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Приложение к основной образовательной </w:t>
      </w:r>
    </w:p>
    <w:p w14:paraId="55A32366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5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программе - программе среднего общего образования </w:t>
      </w:r>
    </w:p>
    <w:p w14:paraId="3E898E14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5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МКОУ АГО «Бакряжская СОШ»</w:t>
      </w:r>
    </w:p>
    <w:p w14:paraId="4B524AA8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242FFC4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C11868A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40B8853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EDBE346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EF28319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46B95C4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AD97C71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9957EE9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17B5017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52"/>
          <w:szCs w:val="72"/>
        </w:rPr>
      </w:pPr>
      <w:r>
        <w:rPr>
          <w:rFonts w:ascii="Times New Roman" w:hAnsi="Times New Roman" w:eastAsia="Times New Roman" w:cs="Times New Roman"/>
          <w:color w:val="000000"/>
          <w:sz w:val="52"/>
          <w:szCs w:val="72"/>
        </w:rPr>
        <w:t>УЧЕБНЫЙ ПЛАН</w:t>
      </w:r>
    </w:p>
    <w:p w14:paraId="19909E49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муниципального казенного общеобразовательного учреждения</w:t>
      </w:r>
    </w:p>
    <w:p w14:paraId="539F5728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Ачитского городского округа</w:t>
      </w:r>
    </w:p>
    <w:p w14:paraId="557DCF74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«Бакряжская средняя общеобразовательная школа»</w:t>
      </w:r>
    </w:p>
    <w:p w14:paraId="11F7AB8F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среднего общего образования</w:t>
      </w:r>
    </w:p>
    <w:p w14:paraId="490F2BF9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2023-2024, 2024-2025 уч.годы</w:t>
      </w:r>
    </w:p>
    <w:p w14:paraId="62860E4F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0"/>
        </w:rPr>
      </w:pPr>
    </w:p>
    <w:p w14:paraId="66BB29BD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40"/>
          <w:szCs w:val="40"/>
        </w:rPr>
      </w:pPr>
    </w:p>
    <w:p w14:paraId="208A3ECA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A180DC1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                                    </w:t>
      </w:r>
    </w:p>
    <w:p w14:paraId="223F5C6D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93760B2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810BC1E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EC60234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32"/>
        </w:rPr>
      </w:pPr>
      <w:r>
        <w:br w:type="page"/>
      </w:r>
      <w:r>
        <w:rPr>
          <w:rFonts w:ascii="Times New Roman" w:hAnsi="Times New Roman" w:eastAsia="Times New Roman" w:cs="Times New Roman"/>
          <w:b/>
          <w:color w:val="000000"/>
          <w:sz w:val="24"/>
          <w:szCs w:val="32"/>
        </w:rPr>
        <w:t>Пояснительная записка</w:t>
      </w:r>
    </w:p>
    <w:p w14:paraId="05BCC97E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Муниципальное казенное общеобразовательное учреждение Ачитского городского округа "Бакряжская средняя общеобразовательная школа"(далее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4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284313F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Ачитского городского округа "Бакряжская средняя общеобразовательная школа",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BF7C7DA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14:paraId="77FF16A3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 6-ти дневной учебной неделе.</w:t>
      </w:r>
    </w:p>
    <w:p w14:paraId="5C14F27B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contextualSpacing/>
        <w:jc w:val="both"/>
        <w:rPr>
          <w:rStyle w:val="14"/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Учебный план определяет количество учебных занятий за 2 года на одного обучающегося – не менее 2170 часов и не более 2516 часов (не более 37 часов в неделю).</w:t>
      </w:r>
    </w:p>
    <w:p w14:paraId="4AA1EF4E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 10 классе – 37 часов, в  11 классе – 37 часов. </w:t>
      </w:r>
    </w:p>
    <w:p w14:paraId="61EC17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В Муниципальное казенное общеобразовательное учреждение Ачитского городского округа "Бакряжская средняя общеобразовательная школа" языком обучения является </w:t>
      </w:r>
      <w:r>
        <w:rPr>
          <w:rFonts w:ascii="Times New Roman" w:hAnsi="Times New Roman" w:cs="Times New Roman"/>
          <w:sz w:val="24"/>
          <w:szCs w:val="24"/>
        </w:rPr>
        <w:t>русский язык.</w:t>
      </w:r>
    </w:p>
    <w:p w14:paraId="0D4789E7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Аналитическим обоснованием учебного плана явились: </w:t>
      </w:r>
    </w:p>
    <w:p w14:paraId="26E66BE9">
      <w:pPr>
        <w:pStyle w:val="1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анализ состояния качества результата образования в муниципальном казенном общеобразовательном учреждении  Ачитского городского округа «Бакряжская средняя общеобразовательная школа» за 2022-2023 учебный год;</w:t>
      </w:r>
    </w:p>
    <w:p w14:paraId="584FB667">
      <w:pPr>
        <w:pStyle w:val="1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анализ воспитательной работы в муниципальном казенном общеобразовательном учреждении Ачитского городского округа «Бакряжская средняя общеобразовательная школа» за 2022-2023 учебный год;</w:t>
      </w:r>
    </w:p>
    <w:p w14:paraId="496A9C54">
      <w:pPr>
        <w:pStyle w:val="1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общая характеристика системы образования муниципального казенного общеобразовательного учреждения  Ачитского городского округа «Бакряжская средняя общеобразовательная школа»;  </w:t>
      </w:r>
    </w:p>
    <w:p w14:paraId="6F448633">
      <w:pPr>
        <w:pStyle w:val="1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запросов обучающихся и родителей (законных представителей); </w:t>
      </w:r>
    </w:p>
    <w:p w14:paraId="505F6355">
      <w:pPr>
        <w:pStyle w:val="1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материально-технической базы, учебно-методической литературы, обеспеченности кадрами. </w:t>
      </w:r>
    </w:p>
    <w:p w14:paraId="5802F607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Учебный план составлен в соответствии с уставными целями и задачами школы по реализации образовательной программы.</w:t>
      </w:r>
    </w:p>
    <w:p w14:paraId="6B72BA13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Учебный план решает задачу удовлетворения потребностей граждан в получении общедоступного и бесплатного начального общего, основного общего и среднего общего образования в пределах федеральных государственных образовательных стандартов.  </w:t>
      </w:r>
    </w:p>
    <w:p w14:paraId="5E49A5B8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7135"/>
          <w:tab w:val="left" w:pos="8366"/>
        </w:tabs>
        <w:ind w:firstLine="567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Особенности учебного плана среднего общего образования</w:t>
      </w:r>
    </w:p>
    <w:p w14:paraId="113D213D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Учебный план, реализующий основную образовательную программу среднего общего образования,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235C53A6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Среднее общее образование является базой для получения высшего и среднего профессионального образования. Одним из базовых требований к содержанию образования является достижение выпускниками уровня функциональной грамотности. Одной из важнейших задач основной школы является подготовка обучающегося  к осознанному и ответственному выбору жизненного и профессионального пути.</w:t>
      </w:r>
    </w:p>
    <w:p w14:paraId="310413F1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Приоритетные цели обучения в основной школе:</w:t>
      </w:r>
    </w:p>
    <w:p w14:paraId="158E2BF1">
      <w:pPr>
        <w:pStyle w:val="17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14:paraId="72A2B1E3">
      <w:pPr>
        <w:pStyle w:val="17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приобретение опыта разнообразной деятельности (индивидуальной и коллективной), опыта познания и самопознания;</w:t>
      </w:r>
    </w:p>
    <w:p w14:paraId="7BEA590A">
      <w:pPr>
        <w:pStyle w:val="17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14:paraId="5FEA60D3">
      <w:pPr>
        <w:spacing w:after="0" w:line="240" w:lineRule="auto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       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0556508">
      <w:pPr>
        <w:spacing w:after="0" w:line="240" w:lineRule="auto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          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5D20A56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МКОУ АГО «Бакряжская СОШ» реализуется учебный план универсального профиля обучения. Учебный план  содержит 13 обязательных учебных предметов и предусматривает изучение не менее одного учебного предмета из каждой предметной области, определенной ФГОС. На углубленном уровне изучаются «Математика» («Алгебра», «Геометрия», «Вероятность и статистика») и «Обществознание».</w:t>
      </w:r>
    </w:p>
    <w:p w14:paraId="29D753EC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30j0zll" w:colFirst="0" w:colLast="0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учебном плане предусмотрено выполнение обучающимися индивидуального(ых) проекта(ов). 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14:paraId="25745E86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Промежуточная аттестация</w:t>
      </w:r>
    </w:p>
    <w:p w14:paraId="622ECC97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1CF5529F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8FB9E94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семестрам. Предметы из части, формируемой участниками образовательных отношений, являются безотметочными и оцениваются «зачет» или «незачет» по итогам семестра. </w:t>
      </w:r>
    </w:p>
    <w:p w14:paraId="35EC2C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Промежуточная аттестация проходит в соответствии с календарным учебным графиком школы.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казенное общеобразовательное учреждение Ачитского городского округа "Бакряжская средняя общеобразовательная школа".</w:t>
      </w:r>
    </w:p>
    <w:p w14:paraId="26AABB96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both"/>
        <w:rPr>
          <w:rFonts w:ascii="Times New Roman" w:hAnsi="Times New Roman" w:eastAsia="Verdana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Формами проведения промежуточной аттестации могут являться:</w:t>
      </w:r>
    </w:p>
    <w:p w14:paraId="6951002A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both"/>
        <w:rPr>
          <w:rFonts w:ascii="Times New Roman" w:hAnsi="Times New Roman" w:eastAsia="Verdana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письменная проверка – письменный ответ обучающегося на один или систему вопросов (заданий). К письменным ответам относятся: итоговые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рефераты, проекты и другое;</w:t>
      </w:r>
    </w:p>
    <w:p w14:paraId="394C2AC2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both"/>
        <w:rPr>
          <w:rFonts w:ascii="Times New Roman" w:hAnsi="Times New Roman" w:eastAsia="Verdana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устная проверка – устный ответ обучающегося на один или систему вопросов в форме ответа на билеты,  беседы, собеседования и другое;</w:t>
      </w:r>
    </w:p>
    <w:p w14:paraId="67A34CF8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комбинированная проверка - сочетание письменных и устных форм проверок;</w:t>
      </w:r>
    </w:p>
    <w:p w14:paraId="786E7FB4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всероссийские проверочные работы.</w:t>
      </w:r>
    </w:p>
    <w:p w14:paraId="1A602A9C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8E30927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Иные формы промежуточной аттестации могут предусматриваться.</w:t>
      </w:r>
    </w:p>
    <w:p w14:paraId="688DC607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Сроки проведения промежуточная аттестация обучающихся за текущий учебный год определяются приказом директора школы не позднее, чем за месяц до начала проведения промежуточной аттестации.</w:t>
      </w:r>
    </w:p>
    <w:p w14:paraId="71EC5473">
      <w:pPr>
        <w:spacing w:after="0" w:line="240" w:lineRule="auto"/>
        <w:ind w:firstLine="567"/>
        <w:contextualSpacing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</w:t>
      </w:r>
    </w:p>
    <w:p w14:paraId="20A4D8A8">
      <w:pPr>
        <w:spacing w:after="0" w:line="240" w:lineRule="auto"/>
        <w:ind w:firstLine="567"/>
        <w:contextualSpacing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</w:t>
      </w:r>
      <w:r>
        <w:rPr>
          <w:rStyle w:val="14"/>
          <w:rFonts w:asciiTheme="majorBidi" w:hAnsiTheme="majorBidi" w:cstheme="majorBidi"/>
          <w:sz w:val="28"/>
          <w:szCs w:val="28"/>
        </w:rPr>
        <w:t>.</w:t>
      </w:r>
    </w:p>
    <w:p w14:paraId="52F3C4C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сроки проведения промежуточной аттестации </w:t>
      </w:r>
    </w:p>
    <w:p w14:paraId="4E9727F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на уровне СОО в 2023-2024 учебном году</w:t>
      </w:r>
    </w:p>
    <w:p w14:paraId="7AFC13A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0"/>
        <w:gridCol w:w="3355"/>
        <w:gridCol w:w="2867"/>
      </w:tblGrid>
      <w:tr w14:paraId="40334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05A1B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571A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9234D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 класс</w:t>
            </w:r>
          </w:p>
          <w:p w14:paraId="72FC2E8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04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816B0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Обязательные учебные предметы</w:t>
            </w:r>
          </w:p>
        </w:tc>
      </w:tr>
      <w:tr w14:paraId="639BB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0B6BD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F1CF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9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материалам СтатГрад</w:t>
            </w:r>
          </w:p>
        </w:tc>
      </w:tr>
      <w:tr w14:paraId="10BB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FF5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962E1C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26B0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</w:t>
            </w:r>
          </w:p>
        </w:tc>
      </w:tr>
      <w:tr w14:paraId="252E7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C3CE3C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E18C9C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C3E0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14:paraId="3436D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2AF14668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  <w:p w14:paraId="140E580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8018C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D72545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8A2C6A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6AF7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14:paraId="0B0C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65A9764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C583F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4542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  <w:p w14:paraId="1367DA1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материалам СтатГрад</w:t>
            </w:r>
          </w:p>
        </w:tc>
      </w:tr>
      <w:tr w14:paraId="608E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B39A5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031D1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8368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14:paraId="52398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1F5B10C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6201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BD502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336E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8BC7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D3A6B6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B5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  <w:p w14:paraId="36515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материалам СтатГрад</w:t>
            </w:r>
          </w:p>
          <w:p w14:paraId="4772266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3F3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2440BF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792A5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C163D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389F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6A20BA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09C87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6488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919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0579CE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5481F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A5DD6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14:paraId="45D7F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591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95F4CE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A030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14:paraId="42798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B85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212278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52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  <w:p w14:paraId="7C1CA0F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материалам СтатГрад</w:t>
            </w:r>
          </w:p>
        </w:tc>
      </w:tr>
      <w:tr w14:paraId="46F8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44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77DA80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1005D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материалам СтатГрад</w:t>
            </w:r>
          </w:p>
        </w:tc>
      </w:tr>
      <w:tr w14:paraId="63B81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35F125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ФК,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2F54FB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56A6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14:paraId="609C2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450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F6DD7E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F02D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14:paraId="724C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E2F0C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BB5945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BE311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14:paraId="4EDE5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8C036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Учебные предметы по выбору из обязательных предметных областей</w:t>
            </w:r>
          </w:p>
        </w:tc>
      </w:tr>
      <w:tr w14:paraId="02D16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B8ED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4663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Трудные вопросы орфографии и пунктуации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351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-</w:t>
            </w:r>
          </w:p>
        </w:tc>
      </w:tr>
      <w:tr w14:paraId="1C81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420B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AF9B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E1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2C34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2012A6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BAE22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Практикум по истории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8A37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3DD6CC4">
      <w:pPr>
        <w:spacing w:after="0" w:line="240" w:lineRule="auto"/>
        <w:ind w:firstLine="567"/>
        <w:contextualSpacing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1DADC38F">
      <w:pPr>
        <w:spacing w:after="0" w:line="240" w:lineRule="auto"/>
        <w:ind w:firstLine="567"/>
        <w:contextualSpacing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397AC363">
      <w:pPr>
        <w:pStyle w:val="18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Формы проведения промежуточной аттестации</w:t>
      </w:r>
    </w:p>
    <w:p w14:paraId="73001DB1">
      <w:pPr>
        <w:pStyle w:val="18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на уровне СОО в 202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-202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5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учебном году</w:t>
      </w:r>
    </w:p>
    <w:tbl>
      <w:tblPr>
        <w:tblStyle w:val="4"/>
        <w:tblW w:w="10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1984"/>
        <w:gridCol w:w="3564"/>
      </w:tblGrid>
      <w:tr w14:paraId="6C77A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tblHeader/>
        </w:trPr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7B5F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ADC7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4DB2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14:paraId="64DC2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tblHeader/>
        </w:trPr>
        <w:tc>
          <w:tcPr>
            <w:tcW w:w="10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F253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14:paraId="470B4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tblHeader/>
        </w:trPr>
        <w:tc>
          <w:tcPr>
            <w:tcW w:w="4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57E0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5622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8791">
            <w:pPr>
              <w:pStyle w:val="18"/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формате ЕГЭ</w:t>
            </w:r>
          </w:p>
        </w:tc>
      </w:tr>
      <w:tr w14:paraId="03264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tblHeader/>
        </w:trPr>
        <w:tc>
          <w:tcPr>
            <w:tcW w:w="4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2DA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09FD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AD5C">
            <w:pPr>
              <w:pStyle w:val="18"/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в формате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14:paraId="0D484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tblHeader/>
        </w:trPr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3619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2A9D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6BFF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40904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tblHeader/>
        </w:trPr>
        <w:tc>
          <w:tcPr>
            <w:tcW w:w="4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A06E4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6D0D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0581">
            <w:pPr>
              <w:pStyle w:val="18"/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формате ЕГЭ</w:t>
            </w:r>
          </w:p>
        </w:tc>
      </w:tr>
      <w:tr w14:paraId="3600E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tblHeader/>
        </w:trPr>
        <w:tc>
          <w:tcPr>
            <w:tcW w:w="4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358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C291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A52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2B39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tblHeader/>
        </w:trPr>
        <w:tc>
          <w:tcPr>
            <w:tcW w:w="4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5A9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5B81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9E7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49C1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4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500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4372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6D59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  <w:tr w14:paraId="6213B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tblHeader/>
        </w:trPr>
        <w:tc>
          <w:tcPr>
            <w:tcW w:w="4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EC1B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1A5E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AB02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4491E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tblHeader/>
        </w:trPr>
        <w:tc>
          <w:tcPr>
            <w:tcW w:w="4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6061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D7F8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64" w:type="dxa"/>
            <w:tcBorders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B300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2A741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tblHeader/>
        </w:trPr>
        <w:tc>
          <w:tcPr>
            <w:tcW w:w="4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879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203C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4300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101EB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tblHeader/>
        </w:trPr>
        <w:tc>
          <w:tcPr>
            <w:tcW w:w="4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B672A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2ED1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4C23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6CC39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tblHeader/>
        </w:trPr>
        <w:tc>
          <w:tcPr>
            <w:tcW w:w="4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3A0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BED9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9146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053F0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tblHeader/>
        </w:trPr>
        <w:tc>
          <w:tcPr>
            <w:tcW w:w="4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7B8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3B2E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1191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74E45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tblHeader/>
        </w:trPr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8A70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A31F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A713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4D97C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tblHeader/>
        </w:trPr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2C86">
            <w:pPr>
              <w:pStyle w:val="18"/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8ED3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845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42200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tblHeader/>
        </w:trPr>
        <w:tc>
          <w:tcPr>
            <w:tcW w:w="10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5DAD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14:paraId="72361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tblHeader/>
        </w:trPr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A56E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5702">
            <w:pPr>
              <w:pStyle w:val="18"/>
              <w:tabs>
                <w:tab w:val="left" w:pos="960"/>
              </w:tabs>
              <w:spacing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Трудные вопросы орфографии и пунктуации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6E8D9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14:paraId="12F6A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tblHeader/>
        </w:trPr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B8F1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3C8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Практикум по истории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27C4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14:paraId="1F57E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tblHeader/>
        </w:trPr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D0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875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Решение задач повышенной сложности по физике 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CAE9">
            <w:pPr>
              <w:pStyle w:val="18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057489EC">
      <w:pPr>
        <w:pStyle w:val="18"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BFCBB31">
      <w:pPr>
        <w:pStyle w:val="18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7B31679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0C0A3E94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0E309CDC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0641006A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7291CDB2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083086AA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1ECDC8CF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473E91B2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6D7B75FD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75F88CF2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263EEEE6">
      <w:pPr>
        <w:pStyle w:val="17"/>
        <w:jc w:val="center"/>
        <w:rPr>
          <w:rFonts w:ascii="Times New Roman" w:hAnsi="Times New Roman" w:eastAsia="Times New Roman" w:cs="Times New Roman"/>
          <w:color w:val="000000"/>
        </w:rPr>
      </w:pPr>
    </w:p>
    <w:p w14:paraId="45C14CDC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BE6990B">
      <w:pPr>
        <w:pStyle w:val="1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A87A2DD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3E9B484F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2287A7F5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74025609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5D8B2422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75F6C861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44356DD4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71B33890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11379914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048A541F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7C3ED831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617F0883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30DAC498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342D9604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2B9EF8AF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23688DC5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2E6CEF14">
      <w:pPr>
        <w:pStyle w:val="17"/>
        <w:jc w:val="both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031297F2">
      <w:pPr>
        <w:pStyle w:val="17"/>
        <w:jc w:val="both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5C26DE13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6EED2257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t>Учебный план (универсальный профиль) среднего общего образования</w:t>
      </w:r>
    </w:p>
    <w:p w14:paraId="76AB8CC8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t>МКОУ АГО «Бакряжская СОШ» на 2023-2024, 2024-2025 учебные годы</w:t>
      </w:r>
    </w:p>
    <w:p w14:paraId="646DD763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tbl>
      <w:tblPr>
        <w:tblStyle w:val="4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127"/>
        <w:gridCol w:w="1417"/>
        <w:gridCol w:w="1134"/>
        <w:gridCol w:w="1559"/>
        <w:gridCol w:w="1134"/>
      </w:tblGrid>
      <w:tr w14:paraId="343BC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6DA384D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1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721827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13213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D9D9D9"/>
            <w:vAlign w:val="center"/>
          </w:tcPr>
          <w:p w14:paraId="4FF14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779BF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14:paraId="5A74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E5C5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4D89F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7910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3B4AE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5AAEC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A25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14:paraId="226D4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B3"/>
            <w:vAlign w:val="center"/>
          </w:tcPr>
          <w:p w14:paraId="72F104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02A1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14:paraId="05DCA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0D31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AC53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5E17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98C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384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577F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14:paraId="17261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BD61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EB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04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58D6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BF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CF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14:paraId="3A003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D77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EE4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EEE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52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422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07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14:paraId="08E1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7896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105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F48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CE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9D3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BA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14:paraId="2A4E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B45B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435B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54C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15B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C1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CE0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14:paraId="42FFD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1C24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AC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86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03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25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79D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14:paraId="494D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D305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DA1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777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ED8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D8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2D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14:paraId="72247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078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3EF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6F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B18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23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C86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14:paraId="7562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F1AF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4181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A3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A43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28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680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14:paraId="43B3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20D2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6BD1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938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A80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F29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D3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14:paraId="03573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C3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E07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E3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2D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8EC1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B8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14:paraId="34EE9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0AC3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137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E0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3440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E2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43A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14:paraId="5B449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783B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567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F4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830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62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CF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14:paraId="7DB92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4FF0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665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B39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46F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4C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2BD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14:paraId="4FF2D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719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EAC4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298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53E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A2D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24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14:paraId="6149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3E7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2BD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27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06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E7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900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14:paraId="54A77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00FF00"/>
            <w:vAlign w:val="center"/>
          </w:tcPr>
          <w:p w14:paraId="4D82BD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6F558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4B1C54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77953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052C1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2244</w:t>
            </w:r>
          </w:p>
        </w:tc>
      </w:tr>
      <w:tr w14:paraId="0E147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B3"/>
            <w:vAlign w:val="center"/>
          </w:tcPr>
          <w:p w14:paraId="396F0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B3"/>
            <w:vAlign w:val="center"/>
          </w:tcPr>
          <w:p w14:paraId="4A8DE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2D72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9D9D9"/>
            <w:vAlign w:val="center"/>
          </w:tcPr>
          <w:p w14:paraId="5CB9AA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учебного курса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60149D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45A2D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4802CE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2FB8A9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69CCD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4CE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Трудные вопросы орфографии и пунктуации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038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225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A8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7FE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14:paraId="0EE5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CBF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Практикум по 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FF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2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B50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483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</w:tr>
      <w:tr w14:paraId="3B307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ABF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Компьютерная грамотность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20B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098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2DB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850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34</w:t>
            </w:r>
          </w:p>
        </w:tc>
      </w:tr>
      <w:tr w14:paraId="7E0D5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43E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Решение задач повышенной сложности по физике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24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4E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8A8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FD3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</w:tr>
      <w:tr w14:paraId="1B4A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00FF00"/>
            <w:vAlign w:val="center"/>
          </w:tcPr>
          <w:p w14:paraId="3D154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58F8EB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415D7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20C762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2880C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14:paraId="3496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00FF00"/>
            <w:vAlign w:val="center"/>
          </w:tcPr>
          <w:p w14:paraId="2B1216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 недельная нагрузка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21EF89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1B393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5A9885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5EE08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</w:tr>
      <w:tr w14:paraId="2AF9C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CE3FC"/>
            <w:vAlign w:val="center"/>
          </w:tcPr>
          <w:p w14:paraId="3CB412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3269B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25487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7D66B1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2FCCB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1D85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CE3FC"/>
            <w:vAlign w:val="center"/>
          </w:tcPr>
          <w:p w14:paraId="3D16F4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Всего часов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7A33B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31BC0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4BC51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26BC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</w:tr>
    </w:tbl>
    <w:p w14:paraId="5AF80855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35B07D9A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118D7CD8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313CBF35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6411AF75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4131D4E4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55067C7E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500DBD69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7AF3AE21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tbl>
      <w:tblPr>
        <w:tblStyle w:val="4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127"/>
        <w:gridCol w:w="1417"/>
        <w:gridCol w:w="1134"/>
        <w:gridCol w:w="1559"/>
        <w:gridCol w:w="1134"/>
      </w:tblGrid>
      <w:tr w14:paraId="3E5C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5B3931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1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3EE822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58F51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D9D9D9"/>
            <w:vAlign w:val="center"/>
          </w:tcPr>
          <w:p w14:paraId="42CCC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58DC2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14:paraId="4344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A843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B22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C38F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409B8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4727B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D818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14:paraId="69676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B3"/>
            <w:vAlign w:val="center"/>
          </w:tcPr>
          <w:p w14:paraId="2A6A8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722A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14:paraId="7CC2E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E35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461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03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D19F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48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F06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14:paraId="17941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A548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4AB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98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83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0A3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28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14:paraId="25D73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42E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90FC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80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66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AE9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D1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14:paraId="5A975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A72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FF23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1EC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63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3AB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25CA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14:paraId="65ADE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1CA49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379D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44D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3A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2C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318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14:paraId="70964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0AD4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B991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10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93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8F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6C6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14:paraId="227B3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12E4C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4FB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3D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4F0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93AC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B63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14:paraId="60D1B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50D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4A34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69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8680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2D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71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14:paraId="3ABBD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C9B7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75B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91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AD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E6C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08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14:paraId="28200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5AC08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847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A85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179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0C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EF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14:paraId="2A1B4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3D7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F28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B0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AA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FD3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3BE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14:paraId="5A1DF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74BA9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189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EDC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17A2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F4D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965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14:paraId="22053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A4CC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5B09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C4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E8F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7F4D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B0D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14:paraId="5A451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1FB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A3A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43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A39F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0FF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D6E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14:paraId="680DD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D80E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E6C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A9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45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551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4FA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14:paraId="2008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020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521B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3C65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F5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A0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CD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14:paraId="2BBE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00FF00"/>
            <w:vAlign w:val="center"/>
          </w:tcPr>
          <w:p w14:paraId="08A32F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36FE4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46F24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12E23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60110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14:paraId="7BCDB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B3"/>
            <w:vAlign w:val="center"/>
          </w:tcPr>
          <w:p w14:paraId="0C5AB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B3"/>
            <w:vAlign w:val="center"/>
          </w:tcPr>
          <w:p w14:paraId="22666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55DA8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9D9D9"/>
            <w:vAlign w:val="center"/>
          </w:tcPr>
          <w:p w14:paraId="0F082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учебного курса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3000CA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120676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25AFA7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 w14:paraId="284202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5F8AB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A38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Трудные вопросы орфографии и пунктуации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BED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C5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20D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CD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14:paraId="2E256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6BE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Практикум по 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CCB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338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833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8C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14:paraId="40423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5B9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Компьютерная грамотность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438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C5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A7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ED1F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14:paraId="54E96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34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Решение задач повышенной сложности по физике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123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3D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551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331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14:paraId="1A1D7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00FF00"/>
            <w:vAlign w:val="center"/>
          </w:tcPr>
          <w:p w14:paraId="1E8CBC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62C48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69C17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52842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68623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14:paraId="1EFDE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00FF00"/>
            <w:vAlign w:val="center"/>
          </w:tcPr>
          <w:p w14:paraId="7A2925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 недельная нагрузка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0C7C5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4BDDC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3A5CB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FF00"/>
            <w:vAlign w:val="center"/>
          </w:tcPr>
          <w:p w14:paraId="2B75D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14:paraId="2E3F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CE3FC"/>
            <w:vAlign w:val="center"/>
          </w:tcPr>
          <w:p w14:paraId="18DA3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25476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34265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271F0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4CDDE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27D3D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CE3FC"/>
            <w:vAlign w:val="center"/>
          </w:tcPr>
          <w:p w14:paraId="32528A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Всего часов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46CE8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01FDC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5BCF0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3FC"/>
            <w:vAlign w:val="center"/>
          </w:tcPr>
          <w:p w14:paraId="1254B9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</w:tr>
    </w:tbl>
    <w:p w14:paraId="04787894">
      <w:pPr>
        <w:pStyle w:val="17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sectPr>
      <w:pgSz w:w="11900" w:h="16820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F7AE7"/>
    <w:multiLevelType w:val="multilevel"/>
    <w:tmpl w:val="300F7AE7"/>
    <w:lvl w:ilvl="0" w:tentative="0">
      <w:start w:val="1"/>
      <w:numFmt w:val="bullet"/>
      <w:lvlText w:val="−"/>
      <w:lvlJc w:val="left"/>
      <w:pPr>
        <w:ind w:left="1287" w:hanging="360"/>
      </w:pPr>
      <w:rPr>
        <w:rFonts w:ascii="Arial" w:hAnsi="Arial" w:eastAsia="Arial" w:cs="Arial"/>
        <w:vertAlign w:val="baseline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Arial" w:hAnsi="Arial" w:eastAsia="Arial" w:cs="Arial"/>
        <w:vertAlign w:val="baseline"/>
      </w:rPr>
    </w:lvl>
    <w:lvl w:ilvl="2" w:tentative="0">
      <w:start w:val="1"/>
      <w:numFmt w:val="bullet"/>
      <w:lvlText w:val="▪"/>
      <w:lvlJc w:val="left"/>
      <w:pPr>
        <w:ind w:left="2727" w:hanging="360"/>
      </w:pPr>
      <w:rPr>
        <w:rFonts w:ascii="Arial" w:hAnsi="Arial" w:eastAsia="Arial" w:cs="Arial"/>
        <w:vertAlign w:val="baseline"/>
      </w:rPr>
    </w:lvl>
    <w:lvl w:ilvl="3" w:tentative="0">
      <w:start w:val="1"/>
      <w:numFmt w:val="bullet"/>
      <w:lvlText w:val="●"/>
      <w:lvlJc w:val="left"/>
      <w:pPr>
        <w:ind w:left="3447" w:hanging="360"/>
      </w:pPr>
      <w:rPr>
        <w:rFonts w:ascii="Arial" w:hAnsi="Arial" w:eastAsia="Arial" w:cs="Arial"/>
        <w:vertAlign w:val="baseline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Arial" w:hAnsi="Arial" w:eastAsia="Arial" w:cs="Arial"/>
        <w:vertAlign w:val="baseline"/>
      </w:rPr>
    </w:lvl>
    <w:lvl w:ilvl="5" w:tentative="0">
      <w:start w:val="1"/>
      <w:numFmt w:val="bullet"/>
      <w:lvlText w:val="▪"/>
      <w:lvlJc w:val="left"/>
      <w:pPr>
        <w:ind w:left="4887" w:hanging="360"/>
      </w:pPr>
      <w:rPr>
        <w:rFonts w:ascii="Arial" w:hAnsi="Arial" w:eastAsia="Arial" w:cs="Arial"/>
        <w:vertAlign w:val="baseline"/>
      </w:rPr>
    </w:lvl>
    <w:lvl w:ilvl="6" w:tentative="0">
      <w:start w:val="1"/>
      <w:numFmt w:val="bullet"/>
      <w:lvlText w:val="●"/>
      <w:lvlJc w:val="left"/>
      <w:pPr>
        <w:ind w:left="5607" w:hanging="360"/>
      </w:pPr>
      <w:rPr>
        <w:rFonts w:ascii="Arial" w:hAnsi="Arial" w:eastAsia="Arial" w:cs="Arial"/>
        <w:vertAlign w:val="baseline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Arial" w:hAnsi="Arial" w:eastAsia="Arial" w:cs="Arial"/>
        <w:vertAlign w:val="baseline"/>
      </w:rPr>
    </w:lvl>
    <w:lvl w:ilvl="8" w:tentative="0">
      <w:start w:val="1"/>
      <w:numFmt w:val="bullet"/>
      <w:lvlText w:val="▪"/>
      <w:lvlJc w:val="left"/>
      <w:pPr>
        <w:ind w:left="7047" w:hanging="360"/>
      </w:pPr>
      <w:rPr>
        <w:rFonts w:ascii="Arial" w:hAnsi="Arial" w:eastAsia="Arial" w:cs="Arial"/>
        <w:vertAlign w:val="baseline"/>
      </w:rPr>
    </w:lvl>
  </w:abstractNum>
  <w:abstractNum w:abstractNumId="1">
    <w:nsid w:val="39396FF0"/>
    <w:multiLevelType w:val="multilevel"/>
    <w:tmpl w:val="39396FF0"/>
    <w:lvl w:ilvl="0" w:tentative="0">
      <w:start w:val="1"/>
      <w:numFmt w:val="bullet"/>
      <w:lvlText w:val="−"/>
      <w:lvlJc w:val="left"/>
      <w:pPr>
        <w:ind w:left="1287" w:hanging="360"/>
      </w:pPr>
      <w:rPr>
        <w:rFonts w:ascii="Arial" w:hAnsi="Arial" w:eastAsia="Arial" w:cs="Arial"/>
        <w:vertAlign w:val="baseline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Arial" w:hAnsi="Arial" w:eastAsia="Arial" w:cs="Arial"/>
        <w:vertAlign w:val="baseline"/>
      </w:rPr>
    </w:lvl>
    <w:lvl w:ilvl="2" w:tentative="0">
      <w:start w:val="1"/>
      <w:numFmt w:val="bullet"/>
      <w:lvlText w:val="▪"/>
      <w:lvlJc w:val="left"/>
      <w:pPr>
        <w:ind w:left="2727" w:hanging="360"/>
      </w:pPr>
      <w:rPr>
        <w:rFonts w:ascii="Arial" w:hAnsi="Arial" w:eastAsia="Arial" w:cs="Arial"/>
        <w:vertAlign w:val="baseline"/>
      </w:rPr>
    </w:lvl>
    <w:lvl w:ilvl="3" w:tentative="0">
      <w:start w:val="1"/>
      <w:numFmt w:val="bullet"/>
      <w:lvlText w:val="●"/>
      <w:lvlJc w:val="left"/>
      <w:pPr>
        <w:ind w:left="3447" w:hanging="360"/>
      </w:pPr>
      <w:rPr>
        <w:rFonts w:ascii="Arial" w:hAnsi="Arial" w:eastAsia="Arial" w:cs="Arial"/>
        <w:vertAlign w:val="baseline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Arial" w:hAnsi="Arial" w:eastAsia="Arial" w:cs="Arial"/>
        <w:vertAlign w:val="baseline"/>
      </w:rPr>
    </w:lvl>
    <w:lvl w:ilvl="5" w:tentative="0">
      <w:start w:val="1"/>
      <w:numFmt w:val="bullet"/>
      <w:lvlText w:val="▪"/>
      <w:lvlJc w:val="left"/>
      <w:pPr>
        <w:ind w:left="4887" w:hanging="360"/>
      </w:pPr>
      <w:rPr>
        <w:rFonts w:ascii="Arial" w:hAnsi="Arial" w:eastAsia="Arial" w:cs="Arial"/>
        <w:vertAlign w:val="baseline"/>
      </w:rPr>
    </w:lvl>
    <w:lvl w:ilvl="6" w:tentative="0">
      <w:start w:val="1"/>
      <w:numFmt w:val="bullet"/>
      <w:lvlText w:val="●"/>
      <w:lvlJc w:val="left"/>
      <w:pPr>
        <w:ind w:left="5607" w:hanging="360"/>
      </w:pPr>
      <w:rPr>
        <w:rFonts w:ascii="Arial" w:hAnsi="Arial" w:eastAsia="Arial" w:cs="Arial"/>
        <w:vertAlign w:val="baseline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Arial" w:hAnsi="Arial" w:eastAsia="Arial" w:cs="Arial"/>
        <w:vertAlign w:val="baseline"/>
      </w:rPr>
    </w:lvl>
    <w:lvl w:ilvl="8" w:tentative="0">
      <w:start w:val="1"/>
      <w:numFmt w:val="bullet"/>
      <w:lvlText w:val="▪"/>
      <w:lvlJc w:val="left"/>
      <w:pPr>
        <w:ind w:left="7047" w:hanging="360"/>
      </w:pPr>
      <w:rPr>
        <w:rFonts w:ascii="Arial" w:hAnsi="Arial" w:eastAsia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15B6"/>
    <w:rsid w:val="00052FF9"/>
    <w:rsid w:val="00054BF3"/>
    <w:rsid w:val="00064C7C"/>
    <w:rsid w:val="000A07A9"/>
    <w:rsid w:val="000C3476"/>
    <w:rsid w:val="000F4598"/>
    <w:rsid w:val="00101D46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04BB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091C"/>
    <w:rsid w:val="003A7E5F"/>
    <w:rsid w:val="003C7983"/>
    <w:rsid w:val="003D0DD5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7812"/>
    <w:rsid w:val="004A5E74"/>
    <w:rsid w:val="004B1542"/>
    <w:rsid w:val="004E028C"/>
    <w:rsid w:val="004E2FF3"/>
    <w:rsid w:val="004E4A78"/>
    <w:rsid w:val="00502D31"/>
    <w:rsid w:val="00506889"/>
    <w:rsid w:val="00543B77"/>
    <w:rsid w:val="005472C1"/>
    <w:rsid w:val="00555B74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7838"/>
    <w:rsid w:val="006E1004"/>
    <w:rsid w:val="007031A8"/>
    <w:rsid w:val="00752EAB"/>
    <w:rsid w:val="00771952"/>
    <w:rsid w:val="00771C58"/>
    <w:rsid w:val="00787163"/>
    <w:rsid w:val="007B5622"/>
    <w:rsid w:val="007C687D"/>
    <w:rsid w:val="007E3674"/>
    <w:rsid w:val="007E7965"/>
    <w:rsid w:val="007F4742"/>
    <w:rsid w:val="00804FE3"/>
    <w:rsid w:val="00806306"/>
    <w:rsid w:val="0081324A"/>
    <w:rsid w:val="008448FF"/>
    <w:rsid w:val="008632FA"/>
    <w:rsid w:val="008829BA"/>
    <w:rsid w:val="008B4198"/>
    <w:rsid w:val="008C29B2"/>
    <w:rsid w:val="008C5DA7"/>
    <w:rsid w:val="008E0553"/>
    <w:rsid w:val="00943325"/>
    <w:rsid w:val="00963708"/>
    <w:rsid w:val="0099304C"/>
    <w:rsid w:val="00996DF6"/>
    <w:rsid w:val="009B229E"/>
    <w:rsid w:val="009B6A45"/>
    <w:rsid w:val="009D36EC"/>
    <w:rsid w:val="009F18D3"/>
    <w:rsid w:val="009F4C94"/>
    <w:rsid w:val="00A139CB"/>
    <w:rsid w:val="00A227C0"/>
    <w:rsid w:val="00A26AE7"/>
    <w:rsid w:val="00A76A07"/>
    <w:rsid w:val="00A77598"/>
    <w:rsid w:val="00A96022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6EE1"/>
    <w:rsid w:val="00D52398"/>
    <w:rsid w:val="00D8488E"/>
    <w:rsid w:val="00D96741"/>
    <w:rsid w:val="00DB0F52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32E5"/>
    <w:rsid w:val="00E831EA"/>
    <w:rsid w:val="00E832AB"/>
    <w:rsid w:val="00E8602F"/>
    <w:rsid w:val="00EA1496"/>
    <w:rsid w:val="00EE0C26"/>
    <w:rsid w:val="00F12E13"/>
    <w:rsid w:val="00F22BB1"/>
    <w:rsid w:val="00F23C59"/>
    <w:rsid w:val="00F302B2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02BC"/>
    <w:rsid w:val="00FE1E59"/>
    <w:rsid w:val="00FF7BAD"/>
    <w:rsid w:val="05286BBC"/>
    <w:rsid w:val="06884457"/>
    <w:rsid w:val="7F6C1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qFormat/>
    <w:uiPriority w:val="99"/>
    <w:rPr>
      <w:b/>
      <w:b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qFormat/>
    <w:uiPriority w:val="0"/>
  </w:style>
  <w:style w:type="character" w:customStyle="1" w:styleId="1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  <w:style w:type="paragraph" w:customStyle="1" w:styleId="18">
    <w:name w:val="Обычный1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1949</Words>
  <Characters>11110</Characters>
  <Lines>92</Lines>
  <Paragraphs>26</Paragraphs>
  <TotalTime>10</TotalTime>
  <ScaleCrop>false</ScaleCrop>
  <LinksUpToDate>false</LinksUpToDate>
  <CharactersWithSpaces>13033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cp:lastModifiedBy>Наталья Павловна</cp:lastModifiedBy>
  <cp:lastPrinted>2024-09-10T06:46:00Z</cp:lastPrinted>
  <dcterms:modified xsi:type="dcterms:W3CDTF">2024-09-26T07:10:11Z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93E2F6A705CB4D2D9BF9276EC7467663_12</vt:lpwstr>
  </property>
</Properties>
</file>